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E14E5" w14:textId="3D63CC2D" w:rsidR="002C5B9F" w:rsidRPr="000F397C" w:rsidRDefault="00B212AE" w:rsidP="002C355C">
      <w:pPr>
        <w:pStyle w:val="Nadpis1"/>
        <w:rPr>
          <w:color w:val="C00000"/>
        </w:rPr>
      </w:pPr>
      <w:r w:rsidRPr="000F397C">
        <w:rPr>
          <w:b/>
          <w:bCs/>
          <w:noProof/>
          <w:color w:val="C0000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F4FAE1" wp14:editId="5147B626">
                <wp:simplePos x="0" y="0"/>
                <wp:positionH relativeFrom="column">
                  <wp:posOffset>4021455</wp:posOffset>
                </wp:positionH>
                <wp:positionV relativeFrom="paragraph">
                  <wp:posOffset>516255</wp:posOffset>
                </wp:positionV>
                <wp:extent cx="2571750" cy="1404620"/>
                <wp:effectExtent l="0" t="0" r="19050" b="1079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284F7" w14:textId="48EBEA48" w:rsidR="00B212AE" w:rsidRPr="00B212AE" w:rsidRDefault="00B212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212A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 kdyby byl život jakkoli dobrou komedií, jeho poslední jednání je vždycky tragédií.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B212A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Všichni musíme umřít sami. (</w:t>
                            </w:r>
                            <w:proofErr w:type="spellStart"/>
                            <w:r w:rsidRPr="00B212A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Blaise</w:t>
                            </w:r>
                            <w:proofErr w:type="spellEnd"/>
                            <w:r w:rsidRPr="00B212A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Pascal)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F4FAE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6.65pt;margin-top:40.65pt;width:20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0MLgIAAEwEAAAOAAAAZHJzL2Uyb0RvYy54bWysVEtu2zAQ3RfoHQjua31gx4lgOUiduiiQ&#10;foCkB6AoyiJKcliStpTeqOfoxTqkHNdI201RLQgOZ/g4896MVtejVuQgnJdgalrMckqE4dBKs6vp&#10;54ftq0tKfGCmZQqMqOmj8PR6/fLFarCVKKEH1QpHEMT4arA17UOwVZZ53gvN/AysMOjswGkW0HS7&#10;rHVsQHStsjLPL7IBXGsdcOE9nt5OTrpO+F0nePjYdV4EomqKuYW0urQ2cc3WK1btHLO95Mc02D9k&#10;oZk0+OgJ6pYFRvZO/galJXfgoQszDjqDrpNcpBqwmiJ/Vs19z6xItSA53p5o8v8Pln84fHJEtjUt&#10;iyUlhmkU6UGMAQ4/vhMLSpAykjRYX2HsvcXoML6GEcVOBXt7B/yLJwY2PTM7ceMcDL1gLSZZxJvZ&#10;2dUJx0eQZngPLb7F9gES0Ng5HRlETgiio1iPJ4EwH8LxsFwsi+UCXRx9xTyfX5RJwoxVT9et8+Gt&#10;AE3ipqYOOyDBs8OdDzEdVj2FxNc8KNlupVLJcLtmoxw5MOyWbfpSBc/ClCFDTa8W5WJi4K8Qefr+&#10;BKFlwLZXUtf08hTEqsjbG9OmpgxMqmmPKStzJDJyN7EYxmY8CtNA+4iUOpjaG8cRNz24b5QM2No1&#10;9V/3zAlK1DuDslwV83mchWTMF0vkkLhzT3PuYYYjVE0DJdN2E9L8JMLsDcq3lYnYqPOUyTFXbNnE&#10;93G84kyc2ynq109g/RMAAP//AwBQSwMEFAAGAAgAAAAhABCc+EHdAAAACwEAAA8AAABkcnMvZG93&#10;bnJldi54bWxMj8FuwjAMhu+T9g6RJ+2CRgJRUVWaog2J0050cA9N1lY0TpcEKG8/c9pOtuVPvz+X&#10;m8kN7GpD7D0qWMwFMIuNNz22Cg5fu7ccWEwajR48WgV3G2FTPT+VujD+hnt7rVPLKARjoRV0KY0F&#10;57HprNNx7keLtPv2welEY2i5CfpG4W7gSyFW3Oke6UKnR7vtbHOuL07B6qeWs8+jmeH+vvsIjcvM&#10;9pAp9foyva+BJTulPxge+qQOFTmd/AVNZANlSCkJVZAvqD4AIXPqTgqkWGbAq5L//6H6BQAA//8D&#10;AFBLAQItABQABgAIAAAAIQC2gziS/gAAAOEBAAATAAAAAAAAAAAAAAAAAAAAAABbQ29udGVudF9U&#10;eXBlc10ueG1sUEsBAi0AFAAGAAgAAAAhADj9If/WAAAAlAEAAAsAAAAAAAAAAAAAAAAALwEAAF9y&#10;ZWxzLy5yZWxzUEsBAi0AFAAGAAgAAAAhAMdYbQwuAgAATAQAAA4AAAAAAAAAAAAAAAAALgIAAGRy&#10;cy9lMm9Eb2MueG1sUEsBAi0AFAAGAAgAAAAhABCc+EHdAAAACwEAAA8AAAAAAAAAAAAAAAAAiAQA&#10;AGRycy9kb3ducmV2LnhtbFBLBQYAAAAABAAEAPMAAACSBQAAAAA=&#10;">
                <v:textbox style="mso-fit-shape-to-text:t">
                  <w:txbxContent>
                    <w:p w14:paraId="4CC284F7" w14:textId="48EBEA48" w:rsidR="00B212AE" w:rsidRPr="00B212AE" w:rsidRDefault="00B212AE">
                      <w:pPr>
                        <w:rPr>
                          <w:sz w:val="24"/>
                          <w:szCs w:val="24"/>
                        </w:rPr>
                      </w:pPr>
                      <w:r w:rsidRPr="00B212A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 kdyby byl život jakkoli dobrou komedií, jeho poslední jednání je vždycky tragédií.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B212A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Všichni musíme umřít sami. (</w:t>
                      </w:r>
                      <w:proofErr w:type="spellStart"/>
                      <w:r w:rsidRPr="00B212A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Blaise</w:t>
                      </w:r>
                      <w:proofErr w:type="spellEnd"/>
                      <w:r w:rsidRPr="00B212A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Pascal)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B9C" w:rsidRPr="000F397C">
        <w:rPr>
          <w:color w:val="C00000"/>
        </w:rPr>
        <w:t>Pověry a obyčeje spojené s narozením a se smrtí, jejich obraz v jazykovém obrazu světa</w:t>
      </w:r>
    </w:p>
    <w:p w14:paraId="6000F1ED" w14:textId="77E807C5" w:rsidR="00AC00DF" w:rsidRPr="000F397C" w:rsidRDefault="002C355C">
      <w:pPr>
        <w:rPr>
          <w:color w:val="C00000"/>
        </w:rPr>
      </w:pPr>
      <w:r w:rsidRPr="000F397C">
        <w:rPr>
          <w:b/>
          <w:bCs/>
          <w:color w:val="C00000"/>
        </w:rPr>
        <w:t>POVĚRA</w:t>
      </w:r>
      <w:r w:rsidR="000D2B9C" w:rsidRPr="000F397C">
        <w:rPr>
          <w:color w:val="C00000"/>
        </w:rPr>
        <w:t xml:space="preserve"> je vírou v nejrůznější znamení a jevy, které svým způsobem ovlivňují nebo předpovídají budoucnost člověka. Spadá tedy do</w:t>
      </w:r>
      <w:r w:rsidR="00B212AE" w:rsidRPr="000F397C">
        <w:rPr>
          <w:color w:val="C00000"/>
        </w:rPr>
        <w:t> </w:t>
      </w:r>
      <w:r w:rsidR="000D2B9C" w:rsidRPr="000F397C">
        <w:rPr>
          <w:color w:val="C00000"/>
        </w:rPr>
        <w:t xml:space="preserve">oblasti kultury duchovní, ačkoliv se může </w:t>
      </w:r>
      <w:r w:rsidRPr="000F397C">
        <w:rPr>
          <w:color w:val="C00000"/>
        </w:rPr>
        <w:t>projevovat</w:t>
      </w:r>
      <w:r w:rsidR="000D2B9C" w:rsidRPr="000F397C">
        <w:rPr>
          <w:color w:val="C00000"/>
        </w:rPr>
        <w:t xml:space="preserve"> hmotně</w:t>
      </w:r>
      <w:r w:rsidR="00333ADA" w:rsidRPr="000F397C">
        <w:rPr>
          <w:color w:val="C00000"/>
        </w:rPr>
        <w:t>. Zajímavostí pověr je, že jsou univerzální, aplikovatelné bez rozdílů na široké společenské spektrum. Můžeme je dělit na množství skupin dle různých kritérií a různých šířek záběru.</w:t>
      </w:r>
    </w:p>
    <w:p w14:paraId="0F511BCA" w14:textId="4261D589" w:rsidR="00AC00DF" w:rsidRPr="000F397C" w:rsidRDefault="00AC00DF">
      <w:pPr>
        <w:rPr>
          <w:color w:val="C00000"/>
        </w:rPr>
      </w:pPr>
      <w:r w:rsidRPr="000F397C">
        <w:rPr>
          <w:color w:val="C00000"/>
        </w:rPr>
        <w:t>Bohuslav Beneš charakterizoval pověru jako „</w:t>
      </w:r>
      <w:r w:rsidRPr="000F397C">
        <w:rPr>
          <w:i/>
          <w:iCs/>
          <w:color w:val="C00000"/>
        </w:rPr>
        <w:t xml:space="preserve">představy o systému nadpřirozených sil, znamení a jevů, úkonů a znaků, které zasahují do lidského života. Údajně je máme znát, abychom se mohli vyvarovat jejich případného neblahého působení, ale také mámě vědět, jak se ruší jejich negativní vliv.“ </w:t>
      </w:r>
      <w:r w:rsidRPr="000F397C">
        <w:rPr>
          <w:color w:val="C00000"/>
        </w:rPr>
        <w:t>(</w:t>
      </w:r>
      <w:r w:rsidR="00586FBE" w:rsidRPr="000F397C">
        <w:rPr>
          <w:color w:val="C00000"/>
        </w:rPr>
        <w:t>Beneš in Vašáková, 2009, s.</w:t>
      </w:r>
      <w:r w:rsidRPr="000F397C">
        <w:rPr>
          <w:color w:val="C00000"/>
        </w:rPr>
        <w:t>12)</w:t>
      </w:r>
    </w:p>
    <w:p w14:paraId="02266EB8" w14:textId="515CE862" w:rsidR="000D2B9C" w:rsidRPr="000F397C" w:rsidRDefault="000D2B9C">
      <w:pPr>
        <w:rPr>
          <w:color w:val="C00000"/>
        </w:rPr>
      </w:pPr>
      <w:r w:rsidRPr="000F397C">
        <w:rPr>
          <w:color w:val="C00000"/>
        </w:rPr>
        <w:t>Pověra nevychází z racionálního základu, a proto bývá pověrčivost v dnešní moderní době odsuzována jako zpátečnictví a šarlatánství. Je založená na náboženském cítění a magickém myšlení člověka, protože se váže na nadpřirozené síly a je zachovávána a šířena tradicí. Vzhledem ke vztahu s tradicí se mohou rozdíly mezi pověrou a dalšími podobnými prvky sociálně-kulturního života stírat a</w:t>
      </w:r>
      <w:r w:rsidR="005A65E9" w:rsidRPr="000F397C">
        <w:rPr>
          <w:color w:val="C00000"/>
        </w:rPr>
        <w:t> </w:t>
      </w:r>
      <w:r w:rsidRPr="000F397C">
        <w:rPr>
          <w:color w:val="C00000"/>
        </w:rPr>
        <w:t>v různém smyslu se mohou i prolínat.</w:t>
      </w:r>
      <w:r w:rsidR="005A65E9" w:rsidRPr="000F397C">
        <w:rPr>
          <w:color w:val="C00000"/>
        </w:rPr>
        <w:t xml:space="preserve"> Je problematické zaobírat se všemi pověrami, neboť jejich funkcí bylo jednat tak, aby konání nevedlo ke smrti, uřknutí, nebo jinému neštěstí. Nemluvě o tom, že dříve byla smrt na „denním pořádku“.</w:t>
      </w:r>
    </w:p>
    <w:p w14:paraId="1A1E29D6" w14:textId="5373B8A8" w:rsidR="004D0866" w:rsidRPr="000F397C" w:rsidRDefault="00474CB4">
      <w:pPr>
        <w:rPr>
          <w:color w:val="C00000"/>
        </w:rPr>
      </w:pPr>
      <w:r w:rsidRPr="000F397C">
        <w:rPr>
          <w:b/>
          <w:bCs/>
          <w:color w:val="C00000"/>
        </w:rPr>
        <w:t>NAROZENÍ</w:t>
      </w:r>
      <w:r w:rsidR="002C355C" w:rsidRPr="000F397C">
        <w:rPr>
          <w:b/>
          <w:bCs/>
          <w:color w:val="C00000"/>
        </w:rPr>
        <w:t xml:space="preserve"> A SMRT</w:t>
      </w:r>
      <w:r w:rsidR="002C355C" w:rsidRPr="000F397C">
        <w:rPr>
          <w:color w:val="C00000"/>
        </w:rPr>
        <w:t xml:space="preserve"> jako dvě limitující období</w:t>
      </w:r>
      <w:r w:rsidR="004D0866" w:rsidRPr="000F397C">
        <w:rPr>
          <w:color w:val="C00000"/>
        </w:rPr>
        <w:t>, krajní póly lidského života.</w:t>
      </w:r>
    </w:p>
    <w:p w14:paraId="7DCBE987" w14:textId="614FECF5" w:rsidR="004D0866" w:rsidRPr="000F397C" w:rsidRDefault="005A65E9">
      <w:pPr>
        <w:rPr>
          <w:color w:val="C00000"/>
        </w:rPr>
      </w:pPr>
      <w:r w:rsidRPr="000F397C">
        <w:rPr>
          <w:color w:val="C00000"/>
        </w:rPr>
        <w:t>O</w:t>
      </w:r>
      <w:r w:rsidR="004D0866" w:rsidRPr="000F397C">
        <w:rPr>
          <w:color w:val="C00000"/>
        </w:rPr>
        <w:t>braz smrti a života v dnešní podobě v sobě slučuje pohanské i křesťanské chápání reality.</w:t>
      </w:r>
      <w:r w:rsidRPr="000F397C">
        <w:rPr>
          <w:color w:val="C00000"/>
        </w:rPr>
        <w:t xml:space="preserve"> </w:t>
      </w:r>
      <w:r w:rsidR="004D0866" w:rsidRPr="000F397C">
        <w:rPr>
          <w:color w:val="C00000"/>
        </w:rPr>
        <w:t>V dřívějších dobách</w:t>
      </w:r>
      <w:r w:rsidRPr="000F397C">
        <w:rPr>
          <w:color w:val="C00000"/>
        </w:rPr>
        <w:t xml:space="preserve"> to bylo</w:t>
      </w:r>
      <w:r w:rsidR="004D0866" w:rsidRPr="000F397C">
        <w:rPr>
          <w:color w:val="C00000"/>
        </w:rPr>
        <w:t xml:space="preserve">, stejně jako v dnešní </w:t>
      </w:r>
      <w:proofErr w:type="spellStart"/>
      <w:r w:rsidR="004D0866" w:rsidRPr="000F397C">
        <w:rPr>
          <w:i/>
          <w:iCs/>
          <w:color w:val="C00000"/>
        </w:rPr>
        <w:t>kovidové</w:t>
      </w:r>
      <w:proofErr w:type="spellEnd"/>
      <w:r w:rsidR="004D0866" w:rsidRPr="000F397C">
        <w:rPr>
          <w:color w:val="C00000"/>
        </w:rPr>
        <w:t xml:space="preserve"> době je to velmi aktuální téma a život a</w:t>
      </w:r>
      <w:r w:rsidR="008134FF" w:rsidRPr="000F397C">
        <w:rPr>
          <w:color w:val="C00000"/>
        </w:rPr>
        <w:t> </w:t>
      </w:r>
      <w:r w:rsidR="004D0866" w:rsidRPr="000F397C">
        <w:rPr>
          <w:color w:val="C00000"/>
        </w:rPr>
        <w:t>smrt patřily mezi základní opozice vytvářející kognitivní model světa (Němec in Patočková, s. 4)</w:t>
      </w:r>
    </w:p>
    <w:p w14:paraId="62B7BD19" w14:textId="36092B46" w:rsidR="005A65E9" w:rsidRPr="000F397C" w:rsidRDefault="004D0866" w:rsidP="005A65E9">
      <w:pPr>
        <w:rPr>
          <w:color w:val="C00000"/>
        </w:rPr>
      </w:pPr>
      <w:r w:rsidRPr="000F397C">
        <w:rPr>
          <w:b/>
          <w:bCs/>
          <w:color w:val="C00000"/>
          <w:u w:val="single"/>
        </w:rPr>
        <w:t>Kognitivní</w:t>
      </w:r>
      <w:r w:rsidR="002C355C" w:rsidRPr="000F397C">
        <w:rPr>
          <w:color w:val="C00000"/>
        </w:rPr>
        <w:t xml:space="preserve"> </w:t>
      </w:r>
      <w:r w:rsidR="002C355C" w:rsidRPr="000F397C">
        <w:rPr>
          <w:b/>
          <w:bCs/>
          <w:color w:val="C00000"/>
          <w:u w:val="single"/>
        </w:rPr>
        <w:t>obrazy</w:t>
      </w:r>
      <w:r w:rsidR="00BC4076" w:rsidRPr="000F397C">
        <w:rPr>
          <w:b/>
          <w:bCs/>
          <w:color w:val="C00000"/>
          <w:u w:val="single"/>
        </w:rPr>
        <w:t xml:space="preserve">, </w:t>
      </w:r>
      <w:proofErr w:type="spellStart"/>
      <w:r w:rsidR="00474CB4" w:rsidRPr="000F397C">
        <w:rPr>
          <w:b/>
          <w:bCs/>
          <w:color w:val="C00000"/>
          <w:u w:val="single"/>
        </w:rPr>
        <w:t>konceptualizační</w:t>
      </w:r>
      <w:proofErr w:type="spellEnd"/>
      <w:r w:rsidR="00474CB4" w:rsidRPr="000F397C">
        <w:rPr>
          <w:b/>
          <w:bCs/>
          <w:color w:val="C00000"/>
          <w:u w:val="single"/>
        </w:rPr>
        <w:t xml:space="preserve"> </w:t>
      </w:r>
      <w:r w:rsidR="000750B6" w:rsidRPr="000F397C">
        <w:rPr>
          <w:b/>
          <w:bCs/>
          <w:color w:val="C00000"/>
          <w:u w:val="single"/>
        </w:rPr>
        <w:t>opozice</w:t>
      </w:r>
      <w:r w:rsidR="00BC4076" w:rsidRPr="000F397C">
        <w:rPr>
          <w:b/>
          <w:bCs/>
          <w:color w:val="C00000"/>
          <w:u w:val="single"/>
        </w:rPr>
        <w:t xml:space="preserve"> s těmito tématy spojené</w:t>
      </w:r>
      <w:r w:rsidR="002C355C" w:rsidRPr="000F397C">
        <w:rPr>
          <w:color w:val="C00000"/>
        </w:rPr>
        <w:t>: začátek a konec, jaro a zima, dítě a starý člověk</w:t>
      </w:r>
      <w:r w:rsidR="00BC4076" w:rsidRPr="000F397C">
        <w:rPr>
          <w:color w:val="C00000"/>
        </w:rPr>
        <w:t xml:space="preserve">, </w:t>
      </w:r>
      <w:r w:rsidR="000750B6" w:rsidRPr="000F397C">
        <w:rPr>
          <w:color w:val="C00000"/>
        </w:rPr>
        <w:t>den</w:t>
      </w:r>
      <w:r w:rsidR="00586FBE" w:rsidRPr="000F397C">
        <w:rPr>
          <w:color w:val="C00000"/>
        </w:rPr>
        <w:t xml:space="preserve"> (rok)</w:t>
      </w:r>
      <w:r w:rsidR="000750B6" w:rsidRPr="000F397C">
        <w:rPr>
          <w:color w:val="C00000"/>
        </w:rPr>
        <w:t xml:space="preserve"> a noc, světlý a tmavý</w:t>
      </w:r>
      <w:r w:rsidR="00FC2723" w:rsidRPr="000F397C">
        <w:rPr>
          <w:color w:val="C00000"/>
        </w:rPr>
        <w:t xml:space="preserve"> (světlo a tma)</w:t>
      </w:r>
      <w:r w:rsidR="000750B6" w:rsidRPr="000F397C">
        <w:rPr>
          <w:color w:val="C00000"/>
        </w:rPr>
        <w:t xml:space="preserve">, </w:t>
      </w:r>
      <w:r w:rsidR="00FC2723" w:rsidRPr="000F397C">
        <w:rPr>
          <w:color w:val="C00000"/>
        </w:rPr>
        <w:t xml:space="preserve">bdění a sen, svatba a pohřeb, </w:t>
      </w:r>
      <w:r w:rsidR="000750B6" w:rsidRPr="000F397C">
        <w:rPr>
          <w:color w:val="C00000"/>
        </w:rPr>
        <w:t xml:space="preserve">štěstí a neštěstí, </w:t>
      </w:r>
      <w:r w:rsidR="009D2E3E" w:rsidRPr="000F397C">
        <w:rPr>
          <w:color w:val="C00000"/>
        </w:rPr>
        <w:t xml:space="preserve">zdraví a nemoc, </w:t>
      </w:r>
      <w:r w:rsidR="000750B6" w:rsidRPr="000F397C">
        <w:rPr>
          <w:color w:val="C00000"/>
        </w:rPr>
        <w:t>dobro a zlo</w:t>
      </w:r>
      <w:r w:rsidR="009D2E3E" w:rsidRPr="000F397C">
        <w:rPr>
          <w:color w:val="C00000"/>
        </w:rPr>
        <w:t xml:space="preserve">, </w:t>
      </w:r>
      <w:r w:rsidR="00586FBE" w:rsidRPr="000F397C">
        <w:rPr>
          <w:color w:val="C00000"/>
        </w:rPr>
        <w:t xml:space="preserve">radost a smutek, </w:t>
      </w:r>
      <w:r w:rsidR="009D2E3E" w:rsidRPr="000F397C">
        <w:rPr>
          <w:color w:val="C00000"/>
        </w:rPr>
        <w:t>nebe a peklo, dole a nahoře</w:t>
      </w:r>
      <w:r w:rsidR="000750B6" w:rsidRPr="000F397C">
        <w:rPr>
          <w:color w:val="C00000"/>
        </w:rPr>
        <w:t>… Jedno je vymezováno vztahem k druhému</w:t>
      </w:r>
      <w:r w:rsidR="00AC00DF" w:rsidRPr="000F397C">
        <w:rPr>
          <w:color w:val="C00000"/>
        </w:rPr>
        <w:t>.</w:t>
      </w:r>
    </w:p>
    <w:p w14:paraId="5DEA19AA" w14:textId="39D0852B" w:rsidR="005A65E9" w:rsidRPr="000F397C" w:rsidRDefault="005A65E9" w:rsidP="005A65E9">
      <w:pPr>
        <w:pStyle w:val="Odstavecseseznamem"/>
        <w:numPr>
          <w:ilvl w:val="0"/>
          <w:numId w:val="2"/>
        </w:numPr>
        <w:rPr>
          <w:color w:val="C00000"/>
        </w:rPr>
      </w:pPr>
      <w:r w:rsidRPr="000F397C">
        <w:rPr>
          <w:color w:val="C00000"/>
        </w:rPr>
        <w:t xml:space="preserve">SMRT = </w:t>
      </w:r>
      <w:r w:rsidRPr="000F397C">
        <w:rPr>
          <w:b/>
          <w:bCs/>
          <w:color w:val="C00000"/>
        </w:rPr>
        <w:t>SSJČ</w:t>
      </w:r>
      <w:r w:rsidRPr="000F397C">
        <w:rPr>
          <w:color w:val="C00000"/>
        </w:rPr>
        <w:t>: konec, zánik života, zosobněný zánik života (kostlivec s kosou, apod), zkáza, zmar, konec (</w:t>
      </w:r>
      <w:r w:rsidRPr="000F397C">
        <w:rPr>
          <w:b/>
          <w:bCs/>
          <w:color w:val="C00000"/>
        </w:rPr>
        <w:t>PS</w:t>
      </w:r>
      <w:r w:rsidRPr="000F397C">
        <w:rPr>
          <w:color w:val="C00000"/>
        </w:rPr>
        <w:t xml:space="preserve">). Kolokace v ČNK: </w:t>
      </w:r>
      <w:r w:rsidRPr="000F397C">
        <w:rPr>
          <w:i/>
          <w:iCs/>
          <w:color w:val="C00000"/>
        </w:rPr>
        <w:t>„trest, příčina, rozsudek, strach, odsoudit, život“</w:t>
      </w:r>
      <w:r w:rsidRPr="000F397C">
        <w:rPr>
          <w:color w:val="C00000"/>
        </w:rPr>
        <w:t>.</w:t>
      </w:r>
    </w:p>
    <w:p w14:paraId="4F8D72E5" w14:textId="736729A6" w:rsidR="00B212AE" w:rsidRPr="000F397C" w:rsidRDefault="0070698E" w:rsidP="0070698E">
      <w:pPr>
        <w:pStyle w:val="Odstavecseseznamem"/>
        <w:numPr>
          <w:ilvl w:val="0"/>
          <w:numId w:val="2"/>
        </w:numPr>
        <w:rPr>
          <w:color w:val="C00000"/>
        </w:rPr>
      </w:pPr>
      <w:r w:rsidRPr="000F397C">
        <w:rPr>
          <w:color w:val="C00000"/>
        </w:rPr>
        <w:t xml:space="preserve">NAROZENÍ = </w:t>
      </w:r>
      <w:r w:rsidRPr="000F397C">
        <w:rPr>
          <w:b/>
          <w:bCs/>
          <w:color w:val="C00000"/>
        </w:rPr>
        <w:t>SSJČ</w:t>
      </w:r>
      <w:r w:rsidRPr="000F397C">
        <w:rPr>
          <w:color w:val="C00000"/>
        </w:rPr>
        <w:t xml:space="preserve">: </w:t>
      </w:r>
      <w:r w:rsidRPr="000F397C">
        <w:rPr>
          <w:color w:val="C00000"/>
        </w:rPr>
        <w:br/>
        <w:t>kolokace v ČNK</w:t>
      </w:r>
      <w:r w:rsidR="00AC00DF" w:rsidRPr="000F397C">
        <w:rPr>
          <w:i/>
          <w:iCs/>
          <w:color w:val="C00000"/>
        </w:rPr>
        <w:t>: „výročí, potomek, Ježíš Kristus, panna, Marie, Páně, úmrtí“</w:t>
      </w:r>
      <w:r w:rsidR="00AC00DF" w:rsidRPr="000F397C">
        <w:rPr>
          <w:color w:val="C00000"/>
        </w:rPr>
        <w:t xml:space="preserve">, </w:t>
      </w:r>
      <w:r w:rsidR="00B212AE" w:rsidRPr="000F397C">
        <w:rPr>
          <w:color w:val="C00000"/>
        </w:rPr>
        <w:tab/>
      </w:r>
      <w:r w:rsidR="00B212AE" w:rsidRPr="000F397C">
        <w:rPr>
          <w:color w:val="C00000"/>
        </w:rPr>
        <w:tab/>
      </w:r>
    </w:p>
    <w:p w14:paraId="10D11425" w14:textId="271AA982" w:rsidR="0070698E" w:rsidRPr="000F397C" w:rsidRDefault="0070698E">
      <w:pPr>
        <w:rPr>
          <w:color w:val="C00000"/>
        </w:rPr>
      </w:pPr>
      <w:r w:rsidRPr="000F397C">
        <w:rPr>
          <w:color w:val="C00000"/>
        </w:rPr>
        <w:t xml:space="preserve">V komunikátu metafory sémioticky zkoumáme </w:t>
      </w:r>
      <w:r w:rsidRPr="000F397C">
        <w:rPr>
          <w:b/>
          <w:bCs/>
          <w:color w:val="C00000"/>
        </w:rPr>
        <w:t>téma</w:t>
      </w:r>
      <w:r w:rsidRPr="000F397C">
        <w:rPr>
          <w:color w:val="C00000"/>
        </w:rPr>
        <w:t xml:space="preserve"> (o čem metafora vypovídá) a </w:t>
      </w:r>
      <w:r w:rsidRPr="000F397C">
        <w:rPr>
          <w:b/>
          <w:bCs/>
          <w:color w:val="C00000"/>
        </w:rPr>
        <w:t>nosič</w:t>
      </w:r>
      <w:r w:rsidRPr="000F397C">
        <w:rPr>
          <w:color w:val="C00000"/>
        </w:rPr>
        <w:t xml:space="preserve"> (prostřednictvím čeho o tom vypovídá).</w:t>
      </w:r>
      <w:r w:rsidR="008134FF" w:rsidRPr="000F397C">
        <w:rPr>
          <w:color w:val="C00000"/>
        </w:rPr>
        <w:t xml:space="preserve"> V průběhu let se také obojí proměňovalo.</w:t>
      </w:r>
    </w:p>
    <w:p w14:paraId="70481DE4" w14:textId="7748FE6E" w:rsidR="00EC7063" w:rsidRPr="000F397C" w:rsidRDefault="00EC7063">
      <w:pPr>
        <w:rPr>
          <w:i/>
          <w:iCs/>
          <w:color w:val="C00000"/>
        </w:rPr>
      </w:pPr>
      <w:r w:rsidRPr="000F397C">
        <w:rPr>
          <w:color w:val="C00000"/>
        </w:rPr>
        <w:t xml:space="preserve">Jak píše Navrátilová </w:t>
      </w:r>
      <w:r w:rsidR="00040A1E" w:rsidRPr="000F397C">
        <w:rPr>
          <w:color w:val="C00000"/>
        </w:rPr>
        <w:t>(2003, s. 12-13</w:t>
      </w:r>
      <w:r w:rsidRPr="000F397C">
        <w:rPr>
          <w:color w:val="C00000"/>
        </w:rPr>
        <w:t xml:space="preserve">): </w:t>
      </w:r>
      <w:r w:rsidRPr="000F397C">
        <w:rPr>
          <w:i/>
          <w:iCs/>
          <w:color w:val="C00000"/>
        </w:rPr>
        <w:t>„Obřady a obyčeje spjaté s narozením a se smrtí nesporně orientovaly člověka v jeho vztazích k přírodě, k druhým lidem i k sobě samému, k blízkému světu domova i k cizím. Vytvářely hodnotový horizont života na základě vědomí jednoty člověka a světa.“</w:t>
      </w:r>
    </w:p>
    <w:p w14:paraId="777405F0" w14:textId="38CD1621" w:rsidR="00EC7063" w:rsidRPr="000F397C" w:rsidRDefault="00EC7063">
      <w:pPr>
        <w:rPr>
          <w:color w:val="C00000"/>
        </w:rPr>
      </w:pPr>
      <w:r w:rsidRPr="000F397C">
        <w:rPr>
          <w:color w:val="C00000"/>
        </w:rPr>
        <w:t xml:space="preserve">Poznamenává též, že je možno najít mnoho obyčejů a zvyků, </w:t>
      </w:r>
      <w:r w:rsidR="004B572B" w:rsidRPr="000F397C">
        <w:rPr>
          <w:color w:val="C00000"/>
        </w:rPr>
        <w:t>„</w:t>
      </w:r>
      <w:r w:rsidRPr="000F397C">
        <w:rPr>
          <w:i/>
          <w:iCs/>
          <w:color w:val="C00000"/>
        </w:rPr>
        <w:t>které svědčí o úsilí zvládnout</w:t>
      </w:r>
      <w:r w:rsidR="004B572B" w:rsidRPr="000F397C">
        <w:rPr>
          <w:i/>
          <w:iCs/>
          <w:color w:val="C00000"/>
        </w:rPr>
        <w:t xml:space="preserve"> strach a</w:t>
      </w:r>
      <w:r w:rsidR="008134FF" w:rsidRPr="000F397C">
        <w:rPr>
          <w:i/>
          <w:iCs/>
          <w:color w:val="C00000"/>
        </w:rPr>
        <w:t> </w:t>
      </w:r>
      <w:r w:rsidR="004B572B" w:rsidRPr="000F397C">
        <w:rPr>
          <w:i/>
          <w:iCs/>
          <w:color w:val="C00000"/>
        </w:rPr>
        <w:t>obavy ze všech hrozeb a nejistot iracionálními, magickými prostředky, které postupně od středověku nahrazovaly křesťanské prostředky a symboly.“</w:t>
      </w:r>
      <w:r w:rsidR="00040A1E" w:rsidRPr="000F397C">
        <w:rPr>
          <w:i/>
          <w:iCs/>
          <w:color w:val="C00000"/>
        </w:rPr>
        <w:t xml:space="preserve"> </w:t>
      </w:r>
      <w:r w:rsidR="00040A1E" w:rsidRPr="000F397C">
        <w:rPr>
          <w:color w:val="C00000"/>
        </w:rPr>
        <w:t>(2003, s. 21)</w:t>
      </w:r>
    </w:p>
    <w:p w14:paraId="4A4DA6D0" w14:textId="6F0AD607" w:rsidR="00040A1E" w:rsidRPr="000F397C" w:rsidRDefault="00040A1E">
      <w:pPr>
        <w:rPr>
          <w:color w:val="C00000"/>
        </w:rPr>
      </w:pPr>
      <w:r w:rsidRPr="000F397C">
        <w:rPr>
          <w:color w:val="C00000"/>
        </w:rPr>
        <w:t xml:space="preserve">Velmi často jsou pověry, tedy prostředek, realizace magického myšlení světa, propojeny s určitým časem, obdobím </w:t>
      </w:r>
      <w:r w:rsidR="004875DB" w:rsidRPr="000F397C">
        <w:rPr>
          <w:color w:val="C00000"/>
        </w:rPr>
        <w:t>–</w:t>
      </w:r>
      <w:r w:rsidRPr="000F397C">
        <w:rPr>
          <w:color w:val="C00000"/>
        </w:rPr>
        <w:t xml:space="preserve"> </w:t>
      </w:r>
      <w:r w:rsidR="004875DB" w:rsidRPr="000F397C">
        <w:rPr>
          <w:color w:val="C00000"/>
        </w:rPr>
        <w:t>viz Tolstého času magický kruh.</w:t>
      </w:r>
    </w:p>
    <w:p w14:paraId="690BCC05" w14:textId="40E55B19" w:rsidR="00A8476B" w:rsidRPr="000F397C" w:rsidRDefault="00BC4076">
      <w:pPr>
        <w:rPr>
          <w:color w:val="C00000"/>
        </w:rPr>
      </w:pPr>
      <w:r w:rsidRPr="000F397C">
        <w:rPr>
          <w:color w:val="C00000"/>
        </w:rPr>
        <w:lastRenderedPageBreak/>
        <w:t>V lidových písních, pohádká</w:t>
      </w:r>
      <w:r w:rsidR="0070698E" w:rsidRPr="000F397C">
        <w:rPr>
          <w:color w:val="C00000"/>
        </w:rPr>
        <w:t>ch</w:t>
      </w:r>
      <w:r w:rsidRPr="000F397C">
        <w:rPr>
          <w:color w:val="C00000"/>
        </w:rPr>
        <w:t xml:space="preserve"> narážíme na motivy</w:t>
      </w:r>
      <w:r w:rsidR="00474CB4" w:rsidRPr="000F397C">
        <w:rPr>
          <w:color w:val="C00000"/>
        </w:rPr>
        <w:t xml:space="preserve"> (viz Patočková, 2006)</w:t>
      </w:r>
      <w:r w:rsidR="00A8476B" w:rsidRPr="000F397C">
        <w:rPr>
          <w:color w:val="C00000"/>
        </w:rPr>
        <w:t>:</w:t>
      </w:r>
    </w:p>
    <w:p w14:paraId="1FA7895E" w14:textId="77777777" w:rsidR="00A8476B" w:rsidRPr="000F397C" w:rsidRDefault="00BC4076" w:rsidP="00A8476B">
      <w:pPr>
        <w:pStyle w:val="Odstavecseseznamem"/>
        <w:numPr>
          <w:ilvl w:val="0"/>
          <w:numId w:val="3"/>
        </w:numPr>
        <w:rPr>
          <w:color w:val="C00000"/>
        </w:rPr>
      </w:pPr>
      <w:r w:rsidRPr="000F397C">
        <w:rPr>
          <w:color w:val="C00000"/>
        </w:rPr>
        <w:t xml:space="preserve"> s</w:t>
      </w:r>
      <w:r w:rsidRPr="000F397C">
        <w:rPr>
          <w:b/>
          <w:bCs/>
          <w:color w:val="C00000"/>
        </w:rPr>
        <w:t>mlouvání se smrtí (</w:t>
      </w:r>
      <w:r w:rsidRPr="000F397C">
        <w:rPr>
          <w:i/>
          <w:iCs/>
          <w:color w:val="C00000"/>
        </w:rPr>
        <w:t>Harry Potter a Relikvie smrti, Smrt z Bagdádu/Samary</w:t>
      </w:r>
      <w:r w:rsidRPr="000F397C">
        <w:rPr>
          <w:color w:val="C00000"/>
        </w:rPr>
        <w:t>)</w:t>
      </w:r>
    </w:p>
    <w:p w14:paraId="0A85CE47" w14:textId="77777777" w:rsidR="00A8476B" w:rsidRPr="000F397C" w:rsidRDefault="00BC4076" w:rsidP="00A8476B">
      <w:pPr>
        <w:pStyle w:val="Odstavecseseznamem"/>
        <w:numPr>
          <w:ilvl w:val="0"/>
          <w:numId w:val="3"/>
        </w:numPr>
        <w:rPr>
          <w:color w:val="C00000"/>
        </w:rPr>
      </w:pPr>
      <w:r w:rsidRPr="000F397C">
        <w:rPr>
          <w:b/>
          <w:bCs/>
          <w:color w:val="C00000"/>
        </w:rPr>
        <w:t>návrat mrtvého zpět do života</w:t>
      </w:r>
      <w:r w:rsidRPr="000F397C">
        <w:rPr>
          <w:color w:val="C00000"/>
        </w:rPr>
        <w:t xml:space="preserve"> (například </w:t>
      </w:r>
      <w:r w:rsidRPr="000F397C">
        <w:rPr>
          <w:i/>
          <w:iCs/>
          <w:color w:val="C00000"/>
        </w:rPr>
        <w:t>Šípková Růženka, Sněhurka, Mumie, též Harry Potter</w:t>
      </w:r>
      <w:r w:rsidR="00077152" w:rsidRPr="000F397C">
        <w:rPr>
          <w:i/>
          <w:iCs/>
          <w:color w:val="C00000"/>
        </w:rPr>
        <w:t>, Bella z </w:t>
      </w:r>
      <w:proofErr w:type="spellStart"/>
      <w:r w:rsidR="00077152" w:rsidRPr="000F397C">
        <w:rPr>
          <w:i/>
          <w:iCs/>
          <w:color w:val="C00000"/>
        </w:rPr>
        <w:t>Twilight</w:t>
      </w:r>
      <w:proofErr w:type="spellEnd"/>
      <w:r w:rsidR="00077152" w:rsidRPr="000F397C">
        <w:rPr>
          <w:i/>
          <w:iCs/>
          <w:color w:val="C00000"/>
        </w:rPr>
        <w:t xml:space="preserve"> </w:t>
      </w:r>
      <w:r w:rsidR="00333ADA" w:rsidRPr="000F397C">
        <w:rPr>
          <w:i/>
          <w:iCs/>
          <w:color w:val="C00000"/>
        </w:rPr>
        <w:t>sá</w:t>
      </w:r>
      <w:r w:rsidR="00077152" w:rsidRPr="000F397C">
        <w:rPr>
          <w:i/>
          <w:iCs/>
          <w:color w:val="C00000"/>
        </w:rPr>
        <w:t>gy</w:t>
      </w:r>
      <w:r w:rsidRPr="000F397C">
        <w:rPr>
          <w:color w:val="C00000"/>
        </w:rPr>
        <w:t>)</w:t>
      </w:r>
    </w:p>
    <w:p w14:paraId="27A6417B" w14:textId="77777777" w:rsidR="00A8476B" w:rsidRPr="000F397C" w:rsidRDefault="00BC4076" w:rsidP="00A8476B">
      <w:pPr>
        <w:pStyle w:val="Odstavecseseznamem"/>
        <w:numPr>
          <w:ilvl w:val="0"/>
          <w:numId w:val="3"/>
        </w:numPr>
        <w:rPr>
          <w:color w:val="C00000"/>
        </w:rPr>
      </w:pPr>
      <w:r w:rsidRPr="000F397C">
        <w:rPr>
          <w:b/>
          <w:bCs/>
          <w:color w:val="C00000"/>
        </w:rPr>
        <w:t>převtělení se v jinou životní formu</w:t>
      </w:r>
      <w:r w:rsidRPr="000F397C">
        <w:rPr>
          <w:color w:val="C00000"/>
        </w:rPr>
        <w:t xml:space="preserve"> (</w:t>
      </w:r>
      <w:r w:rsidRPr="000F397C">
        <w:rPr>
          <w:i/>
          <w:iCs/>
          <w:color w:val="C00000"/>
        </w:rPr>
        <w:t xml:space="preserve">Holoubek, Mateřídouška, </w:t>
      </w:r>
      <w:r w:rsidR="00850D6C" w:rsidRPr="000F397C">
        <w:rPr>
          <w:i/>
          <w:iCs/>
          <w:color w:val="C00000"/>
        </w:rPr>
        <w:t>Psí život, Nesmrtelný</w:t>
      </w:r>
      <w:r w:rsidR="00077152" w:rsidRPr="000F397C">
        <w:rPr>
          <w:color w:val="C00000"/>
        </w:rPr>
        <w:t xml:space="preserve">). </w:t>
      </w:r>
    </w:p>
    <w:p w14:paraId="033A908F" w14:textId="1553E2C7" w:rsidR="000750B6" w:rsidRPr="000F397C" w:rsidRDefault="00077152">
      <w:pPr>
        <w:rPr>
          <w:color w:val="C00000"/>
        </w:rPr>
      </w:pPr>
      <w:r w:rsidRPr="000F397C">
        <w:rPr>
          <w:color w:val="C00000"/>
        </w:rPr>
        <w:t>Smrt je zároveň – i vzhledem k tomu smlouvání – chápána jako osoba</w:t>
      </w:r>
      <w:r w:rsidR="00850D6C" w:rsidRPr="000F397C">
        <w:rPr>
          <w:color w:val="C00000"/>
        </w:rPr>
        <w:t>, antropomorfizována</w:t>
      </w:r>
      <w:r w:rsidRPr="000F397C">
        <w:rPr>
          <w:color w:val="C00000"/>
        </w:rPr>
        <w:t>, kdežto život takto personifikován</w:t>
      </w:r>
      <w:r w:rsidR="0015135B" w:rsidRPr="000F397C">
        <w:rPr>
          <w:color w:val="C00000"/>
        </w:rPr>
        <w:t xml:space="preserve"> nebývá – výjimkou je možná Vesna, která je ale spíše spojena s jarem než se životem.</w:t>
      </w:r>
      <w:r w:rsidR="0028281E" w:rsidRPr="000F397C">
        <w:rPr>
          <w:color w:val="C00000"/>
        </w:rPr>
        <w:t xml:space="preserve"> Zároveň je podstatná symbolika spojená se smrtí – černá barva, sýček, </w:t>
      </w:r>
      <w:r w:rsidR="005B0514" w:rsidRPr="000F397C">
        <w:rPr>
          <w:color w:val="C00000"/>
        </w:rPr>
        <w:t xml:space="preserve">slepice, </w:t>
      </w:r>
      <w:r w:rsidR="0028281E" w:rsidRPr="000F397C">
        <w:rPr>
          <w:color w:val="C00000"/>
        </w:rPr>
        <w:t xml:space="preserve">vrána, kočka, </w:t>
      </w:r>
      <w:r w:rsidR="005B0514" w:rsidRPr="000F397C">
        <w:rPr>
          <w:color w:val="C00000"/>
        </w:rPr>
        <w:t>straka, krtek, myrta…</w:t>
      </w:r>
    </w:p>
    <w:p w14:paraId="4E2FA9E2" w14:textId="768D0FEA" w:rsidR="005B0514" w:rsidRPr="000F397C" w:rsidRDefault="005B0514">
      <w:pPr>
        <w:rPr>
          <w:color w:val="C00000"/>
        </w:rPr>
      </w:pPr>
      <w:r w:rsidRPr="000F397C">
        <w:rPr>
          <w:b/>
          <w:bCs/>
          <w:color w:val="C00000"/>
        </w:rPr>
        <w:t>Pověry</w:t>
      </w:r>
      <w:r w:rsidRPr="000F397C">
        <w:rPr>
          <w:color w:val="C00000"/>
        </w:rPr>
        <w:t>:</w:t>
      </w:r>
    </w:p>
    <w:p w14:paraId="71D6B971" w14:textId="7EBEFC37" w:rsidR="003F773F" w:rsidRPr="000F397C" w:rsidRDefault="003F773F" w:rsidP="008134FF">
      <w:pPr>
        <w:pStyle w:val="Odstavecseseznamem"/>
        <w:numPr>
          <w:ilvl w:val="0"/>
          <w:numId w:val="2"/>
        </w:numPr>
        <w:rPr>
          <w:color w:val="C00000"/>
        </w:rPr>
      </w:pPr>
      <w:r w:rsidRPr="000F397C">
        <w:rPr>
          <w:color w:val="C00000"/>
        </w:rPr>
        <w:t>„</w:t>
      </w:r>
      <w:r w:rsidRPr="000F397C">
        <w:rPr>
          <w:color w:val="C00000"/>
          <w:u w:val="single"/>
        </w:rPr>
        <w:t>SMRTELNÁ“ FAUNA A FLÓRA</w:t>
      </w:r>
      <w:r w:rsidR="008134FF" w:rsidRPr="000F397C">
        <w:rPr>
          <w:color w:val="C00000"/>
        </w:rPr>
        <w:br/>
      </w:r>
      <w:r w:rsidRPr="000F397C">
        <w:rPr>
          <w:color w:val="C00000"/>
        </w:rPr>
        <w:t xml:space="preserve">„Uslyší-li někdo u stavení </w:t>
      </w:r>
      <w:r w:rsidRPr="000F397C">
        <w:rPr>
          <w:i/>
          <w:iCs/>
          <w:color w:val="C00000"/>
        </w:rPr>
        <w:t>plakat</w:t>
      </w:r>
      <w:r w:rsidRPr="000F397C">
        <w:rPr>
          <w:color w:val="C00000"/>
        </w:rPr>
        <w:t xml:space="preserve"> sýčka, je to znamení, že někdo z domu brzy zemře.“</w:t>
      </w:r>
      <w:r w:rsidRPr="000F397C">
        <w:rPr>
          <w:color w:val="C00000"/>
        </w:rPr>
        <w:br/>
      </w:r>
      <w:r w:rsidR="00733046" w:rsidRPr="000F397C">
        <w:rPr>
          <w:color w:val="C00000"/>
        </w:rPr>
        <w:t>„</w:t>
      </w:r>
      <w:r w:rsidR="00733046" w:rsidRPr="000F397C">
        <w:rPr>
          <w:b/>
          <w:bCs/>
          <w:color w:val="C00000"/>
        </w:rPr>
        <w:t>Vyje-li pes u domu, někdo brzo zemře</w:t>
      </w:r>
      <w:r w:rsidR="00733046" w:rsidRPr="000F397C">
        <w:rPr>
          <w:color w:val="C00000"/>
        </w:rPr>
        <w:t xml:space="preserve">.“, </w:t>
      </w:r>
      <w:r w:rsidRPr="000F397C">
        <w:rPr>
          <w:color w:val="C00000"/>
        </w:rPr>
        <w:t>„Vyje-li pes pod oknem aneb v okolí nemocného, jest smrt na blízku, neb pes cítí umrlčinu zdaleka.</w:t>
      </w:r>
      <w:r w:rsidRPr="000F397C">
        <w:rPr>
          <w:color w:val="C00000"/>
        </w:rPr>
        <w:br/>
      </w:r>
      <w:r w:rsidR="00733046" w:rsidRPr="000F397C">
        <w:rPr>
          <w:color w:val="C00000"/>
        </w:rPr>
        <w:t>„</w:t>
      </w:r>
      <w:r w:rsidR="00733046" w:rsidRPr="000F397C">
        <w:rPr>
          <w:b/>
          <w:bCs/>
          <w:color w:val="C00000"/>
        </w:rPr>
        <w:t>Zakokrhá-li na dvoře černá slepice, někdo brzy umře</w:t>
      </w:r>
      <w:r w:rsidR="00733046" w:rsidRPr="000F397C">
        <w:rPr>
          <w:color w:val="C00000"/>
        </w:rPr>
        <w:t xml:space="preserve">.“ </w:t>
      </w:r>
      <w:r w:rsidRPr="000F397C">
        <w:rPr>
          <w:color w:val="C00000"/>
        </w:rPr>
        <w:t>„Stejně straka prorokuje, usadí-li se blíže domu a dá-li se do krákorání – spěchají hned domácí ji zahnat.“</w:t>
      </w:r>
      <w:r w:rsidRPr="000F397C">
        <w:rPr>
          <w:color w:val="C00000"/>
        </w:rPr>
        <w:br/>
      </w:r>
      <w:r w:rsidRPr="000F397C">
        <w:rPr>
          <w:b/>
          <w:bCs/>
          <w:color w:val="C00000"/>
        </w:rPr>
        <w:t>„Smrt věští též krtek, jestliže ryje pod prahem aneb na hřbitově na hrobě některého z příbuzných. Tu prý někdo z rodiny či přátel našich jistě zemře.“</w:t>
      </w:r>
      <w:r w:rsidRPr="000F397C">
        <w:rPr>
          <w:color w:val="C00000"/>
        </w:rPr>
        <w:br/>
        <w:t>„Bílý kůň věští ve snách smrt, zdá-li se někomu o něm, zemře jistě někdo z příbuzných.“</w:t>
      </w:r>
      <w:r w:rsidRPr="000F397C">
        <w:rPr>
          <w:color w:val="C00000"/>
        </w:rPr>
        <w:br/>
      </w:r>
      <w:r w:rsidR="00733046" w:rsidRPr="000F397C">
        <w:rPr>
          <w:b/>
          <w:bCs/>
          <w:color w:val="C00000"/>
        </w:rPr>
        <w:t>„Když jabloň podruhé kvete</w:t>
      </w:r>
      <w:r w:rsidRPr="000F397C">
        <w:rPr>
          <w:b/>
          <w:bCs/>
          <w:color w:val="C00000"/>
        </w:rPr>
        <w:t xml:space="preserve"> na podzim</w:t>
      </w:r>
      <w:r w:rsidR="00733046" w:rsidRPr="000F397C">
        <w:rPr>
          <w:b/>
          <w:bCs/>
          <w:color w:val="C00000"/>
        </w:rPr>
        <w:t xml:space="preserve">, </w:t>
      </w:r>
      <w:proofErr w:type="spellStart"/>
      <w:r w:rsidR="00733046" w:rsidRPr="000F397C">
        <w:rPr>
          <w:b/>
          <w:bCs/>
          <w:color w:val="C00000"/>
        </w:rPr>
        <w:t>mrou</w:t>
      </w:r>
      <w:proofErr w:type="spellEnd"/>
      <w:r w:rsidR="00733046" w:rsidRPr="000F397C">
        <w:rPr>
          <w:b/>
          <w:bCs/>
          <w:color w:val="C00000"/>
        </w:rPr>
        <w:t xml:space="preserve"> mladí lidé.“,</w:t>
      </w:r>
      <w:r w:rsidR="00733046" w:rsidRPr="000F397C">
        <w:rPr>
          <w:color w:val="C00000"/>
        </w:rPr>
        <w:t xml:space="preserve"> </w:t>
      </w:r>
      <w:r w:rsidRPr="000F397C">
        <w:rPr>
          <w:color w:val="C00000"/>
        </w:rPr>
        <w:t>„Sníme-li v zimě o kvetoucí lípě aneb o dlouhém dříví, jež ve snách buď měříme, nebo počítáme, smrt máme na blízku.“</w:t>
      </w:r>
      <w:r w:rsidRPr="000F397C">
        <w:rPr>
          <w:color w:val="C00000"/>
        </w:rPr>
        <w:br/>
      </w:r>
      <w:r w:rsidR="00733046" w:rsidRPr="000F397C">
        <w:rPr>
          <w:b/>
          <w:bCs/>
          <w:color w:val="C00000"/>
        </w:rPr>
        <w:t>„Když myrta za okny kvete, svobodný v rodině zemře.“</w:t>
      </w:r>
      <w:r w:rsidRPr="000F397C">
        <w:rPr>
          <w:b/>
          <w:bCs/>
          <w:color w:val="C00000"/>
        </w:rPr>
        <w:t xml:space="preserve"> </w:t>
      </w:r>
      <w:r w:rsidRPr="000F397C">
        <w:rPr>
          <w:color w:val="C00000"/>
        </w:rPr>
        <w:t>X</w:t>
      </w:r>
      <w:r w:rsidR="00733046" w:rsidRPr="000F397C">
        <w:rPr>
          <w:color w:val="C00000"/>
        </w:rPr>
        <w:t xml:space="preserve"> </w:t>
      </w:r>
      <w:r w:rsidRPr="000F397C">
        <w:rPr>
          <w:color w:val="C00000"/>
        </w:rPr>
        <w:t>„Opadává-li myrta, též nastane smrt v rodině.“</w:t>
      </w:r>
      <w:r w:rsidRPr="000F397C">
        <w:rPr>
          <w:color w:val="C00000"/>
        </w:rPr>
        <w:br/>
      </w:r>
      <w:r w:rsidRPr="000F397C">
        <w:rPr>
          <w:b/>
          <w:bCs/>
          <w:color w:val="C00000"/>
        </w:rPr>
        <w:t>„Kdo ve snách houby sbírá, tomu zemře přítel.“</w:t>
      </w:r>
    </w:p>
    <w:p w14:paraId="1B592B9E" w14:textId="7618C8E4" w:rsidR="00733046" w:rsidRPr="000F397C" w:rsidRDefault="008134FF" w:rsidP="008134FF">
      <w:pPr>
        <w:pStyle w:val="Odstavecseseznamem"/>
        <w:numPr>
          <w:ilvl w:val="0"/>
          <w:numId w:val="2"/>
        </w:numPr>
        <w:rPr>
          <w:color w:val="C00000"/>
        </w:rPr>
      </w:pPr>
      <w:r w:rsidRPr="000F397C">
        <w:rPr>
          <w:color w:val="C00000"/>
          <w:u w:val="single"/>
        </w:rPr>
        <w:t>NEMOC</w:t>
      </w:r>
      <w:r w:rsidRPr="000F397C">
        <w:rPr>
          <w:color w:val="C00000"/>
        </w:rPr>
        <w:t xml:space="preserve">: </w:t>
      </w:r>
      <w:r w:rsidR="00733046" w:rsidRPr="000F397C">
        <w:rPr>
          <w:color w:val="C00000"/>
        </w:rPr>
        <w:t>„Jde-li po pomazání a odchodu kněze kouř ze svíce ke dveřím, nemocný brzo umře, jde-li ke stropu, nemocný se uzdraví.“</w:t>
      </w:r>
      <w:r w:rsidR="003F773F" w:rsidRPr="000F397C">
        <w:rPr>
          <w:color w:val="C00000"/>
        </w:rPr>
        <w:t xml:space="preserve">, </w:t>
      </w:r>
      <w:r w:rsidR="003F773F" w:rsidRPr="000F397C">
        <w:rPr>
          <w:b/>
          <w:bCs/>
          <w:color w:val="C00000"/>
        </w:rPr>
        <w:t>„Spadne-li v noci věc a nerozbije se, či padají-li do rána rozvěšené pleny, je to znamení blízké smrti.“</w:t>
      </w:r>
      <w:r w:rsidR="003F773F" w:rsidRPr="000F397C">
        <w:rPr>
          <w:b/>
          <w:bCs/>
          <w:color w:val="C00000"/>
        </w:rPr>
        <w:br/>
      </w:r>
      <w:r w:rsidR="00733046" w:rsidRPr="000F397C">
        <w:rPr>
          <w:color w:val="C00000"/>
        </w:rPr>
        <w:t>„Kdo, když mu byl někde podán chleba, aby si ukrojil, nakrojí a nedokrojí, ten těžce umírá.“</w:t>
      </w:r>
    </w:p>
    <w:p w14:paraId="30ACC953" w14:textId="757847CE" w:rsidR="004B572B" w:rsidRPr="000F397C" w:rsidRDefault="003F773F" w:rsidP="008134FF">
      <w:pPr>
        <w:pStyle w:val="Odstavecseseznamem"/>
        <w:numPr>
          <w:ilvl w:val="0"/>
          <w:numId w:val="2"/>
        </w:numPr>
        <w:rPr>
          <w:color w:val="C00000"/>
        </w:rPr>
      </w:pPr>
      <w:r w:rsidRPr="000F397C">
        <w:rPr>
          <w:color w:val="C00000"/>
          <w:u w:val="single"/>
        </w:rPr>
        <w:t>SVATBA – POHŘEB</w:t>
      </w:r>
      <w:r w:rsidRPr="000F397C">
        <w:rPr>
          <w:color w:val="C00000"/>
        </w:rPr>
        <w:t>: „Potkají-li svatebčané cestou do kostela pohřeb, zlé to znamení.“, „</w:t>
      </w:r>
      <w:r w:rsidRPr="000F397C">
        <w:rPr>
          <w:b/>
          <w:bCs/>
          <w:color w:val="C00000"/>
        </w:rPr>
        <w:t xml:space="preserve">Zhasne-li při oddavkách na oltáři svíce, zemře ten z novomanželů, na jehož straně zhasla.“, </w:t>
      </w:r>
      <w:r w:rsidRPr="000F397C">
        <w:rPr>
          <w:color w:val="C00000"/>
        </w:rPr>
        <w:t>„Zdá-li se nám o svatbách, smrt v příbuzenstvu můžeme očekávati.“</w:t>
      </w:r>
      <w:r w:rsidR="004875DB" w:rsidRPr="000F397C">
        <w:rPr>
          <w:color w:val="C00000"/>
        </w:rPr>
        <w:br/>
      </w:r>
      <w:r w:rsidR="008134FF" w:rsidRPr="000F397C">
        <w:rPr>
          <w:b/>
          <w:bCs/>
          <w:color w:val="C00000"/>
        </w:rPr>
        <w:t>„J</w:t>
      </w:r>
      <w:r w:rsidR="004875DB" w:rsidRPr="000F397C">
        <w:rPr>
          <w:b/>
          <w:bCs/>
          <w:color w:val="C00000"/>
        </w:rPr>
        <w:t>estliže se v den svatby koná v místě bydliště nevěsty či ženicha pohřeb, tak snoubenci zjistí, kdo z nich zemře jako první. Pokud se koná pohřeb muže, tak jako první zemře muž a pokud ženy, tak jako první zemře žena</w:t>
      </w:r>
      <w:r w:rsidR="008134FF" w:rsidRPr="000F397C">
        <w:rPr>
          <w:b/>
          <w:bCs/>
          <w:color w:val="C00000"/>
        </w:rPr>
        <w:t>.“</w:t>
      </w:r>
      <w:r w:rsidR="008134FF" w:rsidRPr="000F397C">
        <w:rPr>
          <w:color w:val="C00000"/>
        </w:rPr>
        <w:br/>
        <w:t>„Pokud manželé uvidí havrana, budou nešťastní, nebo jeden z nich zemře.“</w:t>
      </w:r>
    </w:p>
    <w:p w14:paraId="704D7A37" w14:textId="11181759" w:rsidR="004B572B" w:rsidRPr="000F397C" w:rsidRDefault="007551BB">
      <w:pPr>
        <w:rPr>
          <w:color w:val="C00000"/>
        </w:rPr>
      </w:pPr>
      <w:r w:rsidRPr="000F397C">
        <w:rPr>
          <w:b/>
          <w:bCs/>
          <w:color w:val="C00000"/>
        </w:rPr>
        <w:t xml:space="preserve">ŽIVOT/ </w:t>
      </w:r>
      <w:r w:rsidR="004B572B" w:rsidRPr="000F397C">
        <w:rPr>
          <w:b/>
          <w:bCs/>
          <w:color w:val="C00000"/>
        </w:rPr>
        <w:t>NAROZENÍ</w:t>
      </w:r>
    </w:p>
    <w:p w14:paraId="77EC7453" w14:textId="659FAFE1" w:rsidR="00586FBE" w:rsidRPr="000F397C" w:rsidRDefault="00586FBE">
      <w:pPr>
        <w:rPr>
          <w:color w:val="C00000"/>
        </w:rPr>
      </w:pPr>
      <w:r w:rsidRPr="000F397C">
        <w:rPr>
          <w:color w:val="C00000"/>
        </w:rPr>
        <w:t>Nositelé a symboly života: (živá/mrtvá) voda, krev (křesťanský motiv – kam kápne krev, vyroste růže), jablka/ptačí zpěv (oživující, uzdravující)</w:t>
      </w:r>
    </w:p>
    <w:p w14:paraId="435243DE" w14:textId="25CDA06E" w:rsidR="00EC7063" w:rsidRPr="000F397C" w:rsidRDefault="004B572B">
      <w:pPr>
        <w:rPr>
          <w:color w:val="C00000"/>
        </w:rPr>
      </w:pPr>
      <w:r w:rsidRPr="000F397C">
        <w:rPr>
          <w:color w:val="C00000"/>
        </w:rPr>
        <w:t>Navrátilová (</w:t>
      </w:r>
      <w:r w:rsidR="00040A1E" w:rsidRPr="000F397C">
        <w:rPr>
          <w:color w:val="C00000"/>
        </w:rPr>
        <w:t>2003</w:t>
      </w:r>
      <w:r w:rsidRPr="000F397C">
        <w:rPr>
          <w:color w:val="C00000"/>
        </w:rPr>
        <w:t xml:space="preserve">) rozděluje rituály spjaté s narozením dítěte do 3 etap: </w:t>
      </w:r>
      <w:r w:rsidRPr="000F397C">
        <w:rPr>
          <w:i/>
          <w:iCs/>
          <w:color w:val="C00000"/>
        </w:rPr>
        <w:t>těhotenství, porod a</w:t>
      </w:r>
      <w:r w:rsidR="00474CB4" w:rsidRPr="000F397C">
        <w:rPr>
          <w:i/>
          <w:iCs/>
          <w:color w:val="C00000"/>
        </w:rPr>
        <w:t> </w:t>
      </w:r>
      <w:r w:rsidRPr="000F397C">
        <w:rPr>
          <w:i/>
          <w:iCs/>
          <w:color w:val="C00000"/>
        </w:rPr>
        <w:t>šestinedělí</w:t>
      </w:r>
      <w:r w:rsidRPr="000F397C">
        <w:rPr>
          <w:color w:val="C00000"/>
        </w:rPr>
        <w:t>.</w:t>
      </w:r>
      <w:r w:rsidR="008134FF" w:rsidRPr="000F397C">
        <w:rPr>
          <w:color w:val="C00000"/>
        </w:rPr>
        <w:t xml:space="preserve"> </w:t>
      </w:r>
      <w:r w:rsidRPr="000F397C">
        <w:rPr>
          <w:color w:val="C00000"/>
        </w:rPr>
        <w:t xml:space="preserve">Zároveň je možné dle ní vydělit dvě funkční roviny: </w:t>
      </w:r>
      <w:r w:rsidRPr="000F397C">
        <w:rPr>
          <w:b/>
          <w:bCs/>
          <w:color w:val="C00000"/>
        </w:rPr>
        <w:t>1</w:t>
      </w:r>
      <w:r w:rsidRPr="000F397C">
        <w:rPr>
          <w:color w:val="C00000"/>
        </w:rPr>
        <w:t xml:space="preserve">) </w:t>
      </w:r>
      <w:r w:rsidRPr="000F397C">
        <w:rPr>
          <w:i/>
          <w:iCs/>
          <w:color w:val="C00000"/>
        </w:rPr>
        <w:t>úkony s cíle zabezpečit zdraví matky a novorozence a jeho šťastný život</w:t>
      </w:r>
      <w:r w:rsidRPr="000F397C">
        <w:rPr>
          <w:color w:val="C00000"/>
        </w:rPr>
        <w:t xml:space="preserve"> (pověrečné představy, obřady, obyčeje, zákazy a příkazy…)</w:t>
      </w:r>
      <w:r w:rsidRPr="000F397C">
        <w:rPr>
          <w:color w:val="C00000"/>
        </w:rPr>
        <w:br/>
        <w:t xml:space="preserve">2) </w:t>
      </w:r>
      <w:r w:rsidRPr="000F397C">
        <w:rPr>
          <w:i/>
          <w:iCs/>
          <w:color w:val="C00000"/>
        </w:rPr>
        <w:t>obřady a obyčeje duchovně a sociálně právně integrativn</w:t>
      </w:r>
      <w:r w:rsidRPr="000F397C">
        <w:rPr>
          <w:color w:val="C00000"/>
        </w:rPr>
        <w:t>í: přijetí novorozeněte jako právoplatného člena rodiny, obce a církve (</w:t>
      </w:r>
      <w:proofErr w:type="spellStart"/>
      <w:r w:rsidRPr="000F397C">
        <w:rPr>
          <w:color w:val="C00000"/>
        </w:rPr>
        <w:t>babictví</w:t>
      </w:r>
      <w:proofErr w:type="spellEnd"/>
      <w:r w:rsidRPr="000F397C">
        <w:rPr>
          <w:color w:val="C00000"/>
        </w:rPr>
        <w:t>, křest, křtiny, kmotrovství…)</w:t>
      </w:r>
    </w:p>
    <w:p w14:paraId="1A69BA96" w14:textId="204A2A8E" w:rsidR="003F773F" w:rsidRPr="000F397C" w:rsidRDefault="00EC7063">
      <w:pPr>
        <w:rPr>
          <w:color w:val="C00000"/>
        </w:rPr>
      </w:pPr>
      <w:r w:rsidRPr="000F397C">
        <w:rPr>
          <w:color w:val="C00000"/>
        </w:rPr>
        <w:lastRenderedPageBreak/>
        <w:t>ZDROJE:</w:t>
      </w:r>
    </w:p>
    <w:p w14:paraId="308797A7" w14:textId="46DDA42C" w:rsidR="00586FBE" w:rsidRPr="000F397C" w:rsidRDefault="00586FBE" w:rsidP="007551BB">
      <w:pPr>
        <w:shd w:val="clear" w:color="auto" w:fill="FFFFFF"/>
        <w:spacing w:after="150" w:line="240" w:lineRule="auto"/>
        <w:rPr>
          <w:rFonts w:eastAsia="Times New Roman" w:cstheme="minorHAnsi"/>
          <w:color w:val="C00000"/>
          <w:lang w:eastAsia="cs-CZ"/>
        </w:rPr>
      </w:pPr>
      <w:r w:rsidRPr="000F397C">
        <w:rPr>
          <w:rFonts w:eastAsia="Times New Roman" w:cstheme="minorHAnsi"/>
          <w:color w:val="C00000"/>
          <w:lang w:eastAsia="cs-CZ"/>
        </w:rPr>
        <w:t xml:space="preserve">Vašáková, L.: Problematika pověr a pověrečných praktik z pohledu současné etnologie [online]. Brno, 2009 [cit. 2021-03-18]. Dostupné z: </w:t>
      </w:r>
      <w:hyperlink r:id="rId8" w:history="1">
        <w:r w:rsidR="00100D7B" w:rsidRPr="000F397C">
          <w:rPr>
            <w:rStyle w:val="Hypertextovodkaz"/>
            <w:rFonts w:eastAsia="Times New Roman" w:cstheme="minorHAnsi"/>
            <w:color w:val="C00000"/>
            <w:lang w:eastAsia="cs-CZ"/>
          </w:rPr>
          <w:t>https://is.muni.cz/th/xl8tg/Povery.pdf</w:t>
        </w:r>
      </w:hyperlink>
      <w:r w:rsidR="00100D7B" w:rsidRPr="000F397C">
        <w:rPr>
          <w:rFonts w:eastAsia="Times New Roman" w:cstheme="minorHAnsi"/>
          <w:color w:val="C00000"/>
          <w:lang w:eastAsia="cs-CZ"/>
        </w:rPr>
        <w:t>. Diplomová práce. Masarykova univerzita, Filosofická fakulta.</w:t>
      </w:r>
    </w:p>
    <w:p w14:paraId="2975782F" w14:textId="3E49CE99" w:rsidR="007551BB" w:rsidRPr="000F397C" w:rsidRDefault="007551BB" w:rsidP="007551BB">
      <w:pPr>
        <w:shd w:val="clear" w:color="auto" w:fill="FFFFFF"/>
        <w:spacing w:after="150" w:line="240" w:lineRule="auto"/>
        <w:rPr>
          <w:rFonts w:eastAsia="Times New Roman" w:cstheme="minorHAnsi"/>
          <w:color w:val="C00000"/>
          <w:lang w:eastAsia="cs-CZ"/>
        </w:rPr>
      </w:pPr>
      <w:r w:rsidRPr="000F397C">
        <w:rPr>
          <w:rFonts w:eastAsia="Times New Roman" w:cstheme="minorHAnsi"/>
          <w:color w:val="C00000"/>
          <w:lang w:eastAsia="cs-CZ"/>
        </w:rPr>
        <w:t>Navrátilová, A.: Narození a smrt v české lidové kultuře. Praha: Vyšehrad, 2004. 413 s. ISBN 80-7021-397-3.</w:t>
      </w:r>
    </w:p>
    <w:p w14:paraId="100962F7" w14:textId="6B8A7AAC" w:rsidR="009147D6" w:rsidRPr="000F397C" w:rsidRDefault="009147D6">
      <w:pPr>
        <w:rPr>
          <w:color w:val="C00000"/>
        </w:rPr>
      </w:pPr>
      <w:r w:rsidRPr="000F397C">
        <w:rPr>
          <w:color w:val="C00000"/>
        </w:rPr>
        <w:t>Patočková, D.: Obraz života a smrti v jazykovém obrazu světa. Praha, 2006.</w:t>
      </w:r>
      <w:r w:rsidR="00100D7B" w:rsidRPr="000F397C">
        <w:rPr>
          <w:color w:val="C00000"/>
        </w:rPr>
        <w:t xml:space="preserve"> Dostupné na: </w:t>
      </w:r>
      <w:hyperlink r:id="rId9" w:history="1">
        <w:r w:rsidR="00100D7B" w:rsidRPr="000F397C">
          <w:rPr>
            <w:rStyle w:val="Hypertextovodkaz"/>
            <w:color w:val="C00000"/>
          </w:rPr>
          <w:t>https://is.cuni.cz/webapps/zzp/detail/26662/</w:t>
        </w:r>
      </w:hyperlink>
      <w:r w:rsidR="00100D7B" w:rsidRPr="000F397C">
        <w:rPr>
          <w:color w:val="C00000"/>
        </w:rPr>
        <w:t>. Diplomová práce. Univerzita Karlova, Filosofická fakulta.</w:t>
      </w:r>
    </w:p>
    <w:p w14:paraId="27EE08B2" w14:textId="5D0BE793" w:rsidR="009147D6" w:rsidRPr="000F397C" w:rsidRDefault="009147D6">
      <w:pPr>
        <w:rPr>
          <w:color w:val="C00000"/>
        </w:rPr>
      </w:pPr>
      <w:r w:rsidRPr="000F397C">
        <w:rPr>
          <w:color w:val="C00000"/>
        </w:rPr>
        <w:t xml:space="preserve">Slováčková, K.: Mýty, pověry a rituály v průběhu těhotenství a porodu. </w:t>
      </w:r>
      <w:r w:rsidR="00100D7B" w:rsidRPr="000F397C">
        <w:rPr>
          <w:color w:val="C00000"/>
        </w:rPr>
        <w:t xml:space="preserve">Olomouc, 2011. Dostupné z: </w:t>
      </w:r>
      <w:hyperlink r:id="rId10" w:history="1">
        <w:r w:rsidR="00100D7B" w:rsidRPr="000F397C">
          <w:rPr>
            <w:rStyle w:val="Hypertextovodkaz"/>
            <w:color w:val="C00000"/>
          </w:rPr>
          <w:t>https://theses.cz/id/v8701c/Slovackova_Katerina_Myty_povery_a_ritualy_pri_porodu.pdf</w:t>
        </w:r>
      </w:hyperlink>
      <w:r w:rsidR="00100D7B" w:rsidRPr="000F397C">
        <w:rPr>
          <w:color w:val="C00000"/>
        </w:rPr>
        <w:t xml:space="preserve">. Bakalářská práce. </w:t>
      </w:r>
      <w:r w:rsidRPr="000F397C">
        <w:rPr>
          <w:color w:val="C00000"/>
        </w:rPr>
        <w:t>Univerzita Palackého</w:t>
      </w:r>
      <w:r w:rsidR="00100D7B" w:rsidRPr="000F397C">
        <w:rPr>
          <w:color w:val="C00000"/>
        </w:rPr>
        <w:t>, Fakulta zdravotních věd.</w:t>
      </w:r>
    </w:p>
    <w:p w14:paraId="1261F880" w14:textId="3A911949" w:rsidR="009147D6" w:rsidRPr="000F397C" w:rsidRDefault="009147D6">
      <w:pPr>
        <w:rPr>
          <w:color w:val="C00000"/>
        </w:rPr>
      </w:pPr>
      <w:r w:rsidRPr="000F397C">
        <w:rPr>
          <w:color w:val="C00000"/>
        </w:rPr>
        <w:t xml:space="preserve">Gala, C.: České lidové pověry a pranostiky o ženách a z porodnictví. Turek, B., Pardubice 1940 in: Moderní </w:t>
      </w:r>
      <w:proofErr w:type="spellStart"/>
      <w:r w:rsidRPr="000F397C">
        <w:rPr>
          <w:color w:val="C00000"/>
        </w:rPr>
        <w:t>babictví</w:t>
      </w:r>
      <w:proofErr w:type="spellEnd"/>
      <w:r w:rsidRPr="000F397C">
        <w:rPr>
          <w:color w:val="C00000"/>
        </w:rPr>
        <w:t xml:space="preserve"> 2, 2003. Levret.cz. Dostupné na WWW: </w:t>
      </w:r>
      <w:hyperlink r:id="rId11" w:history="1">
        <w:r w:rsidRPr="000F397C">
          <w:rPr>
            <w:rStyle w:val="Hypertextovodkaz"/>
            <w:color w:val="C00000"/>
          </w:rPr>
          <w:t>https://www.levret.cz/publikace/casopisy/mb/2003-2/?pdf=160</w:t>
        </w:r>
      </w:hyperlink>
    </w:p>
    <w:sectPr w:rsidR="009147D6" w:rsidRPr="000F397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1D44D" w14:textId="77777777" w:rsidR="006E2FBE" w:rsidRDefault="006E2FBE" w:rsidP="002C355C">
      <w:pPr>
        <w:spacing w:after="0" w:line="240" w:lineRule="auto"/>
      </w:pPr>
      <w:r>
        <w:separator/>
      </w:r>
    </w:p>
  </w:endnote>
  <w:endnote w:type="continuationSeparator" w:id="0">
    <w:p w14:paraId="15EBA862" w14:textId="77777777" w:rsidR="006E2FBE" w:rsidRDefault="006E2FBE" w:rsidP="002C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CC8A9" w14:textId="77777777" w:rsidR="006E2FBE" w:rsidRDefault="006E2FBE" w:rsidP="002C355C">
      <w:pPr>
        <w:spacing w:after="0" w:line="240" w:lineRule="auto"/>
      </w:pPr>
      <w:r>
        <w:separator/>
      </w:r>
    </w:p>
  </w:footnote>
  <w:footnote w:type="continuationSeparator" w:id="0">
    <w:p w14:paraId="0685D007" w14:textId="77777777" w:rsidR="006E2FBE" w:rsidRDefault="006E2FBE" w:rsidP="002C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D525D" w14:textId="619BC993" w:rsidR="002C355C" w:rsidRDefault="002C355C" w:rsidP="002C355C">
    <w:pPr>
      <w:pStyle w:val="Zhlav"/>
      <w:jc w:val="right"/>
    </w:pPr>
    <w:r>
      <w:t>Pověry a obyčeje: smrt a narození</w:t>
    </w:r>
    <w:r>
      <w:tab/>
    </w:r>
    <w:r>
      <w:tab/>
      <w:t>Anna Martínková, Úvod do etnolingvistiky, LS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D46D3"/>
    <w:multiLevelType w:val="hybridMultilevel"/>
    <w:tmpl w:val="7ED2A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8058B"/>
    <w:multiLevelType w:val="multilevel"/>
    <w:tmpl w:val="B296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D0160"/>
    <w:multiLevelType w:val="hybridMultilevel"/>
    <w:tmpl w:val="FB6E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16ABF"/>
    <w:multiLevelType w:val="hybridMultilevel"/>
    <w:tmpl w:val="750A6FA4"/>
    <w:lvl w:ilvl="0" w:tplc="10388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9C"/>
    <w:rsid w:val="00040A1E"/>
    <w:rsid w:val="000750B6"/>
    <w:rsid w:val="00077152"/>
    <w:rsid w:val="000D2B9C"/>
    <w:rsid w:val="000F397C"/>
    <w:rsid w:val="00100D7B"/>
    <w:rsid w:val="0015135B"/>
    <w:rsid w:val="0028281E"/>
    <w:rsid w:val="002C355C"/>
    <w:rsid w:val="002C5B9F"/>
    <w:rsid w:val="00333ADA"/>
    <w:rsid w:val="003F773F"/>
    <w:rsid w:val="0045533F"/>
    <w:rsid w:val="00474CB4"/>
    <w:rsid w:val="004875DB"/>
    <w:rsid w:val="004B572B"/>
    <w:rsid w:val="004D0866"/>
    <w:rsid w:val="00586FBE"/>
    <w:rsid w:val="005A65E9"/>
    <w:rsid w:val="005B0514"/>
    <w:rsid w:val="006E2FBE"/>
    <w:rsid w:val="0070698E"/>
    <w:rsid w:val="00733046"/>
    <w:rsid w:val="007551BB"/>
    <w:rsid w:val="008134FF"/>
    <w:rsid w:val="00850D6C"/>
    <w:rsid w:val="008976FF"/>
    <w:rsid w:val="009147D6"/>
    <w:rsid w:val="009D2E3E"/>
    <w:rsid w:val="00A424C6"/>
    <w:rsid w:val="00A8476B"/>
    <w:rsid w:val="00AC00DF"/>
    <w:rsid w:val="00AC2C8A"/>
    <w:rsid w:val="00B212AE"/>
    <w:rsid w:val="00B66E91"/>
    <w:rsid w:val="00BC4076"/>
    <w:rsid w:val="00C64A90"/>
    <w:rsid w:val="00D00328"/>
    <w:rsid w:val="00D41160"/>
    <w:rsid w:val="00EC7063"/>
    <w:rsid w:val="00FC2723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E79E"/>
  <w15:chartTrackingRefBased/>
  <w15:docId w15:val="{33EC316B-368B-4ADF-8D79-C4107FB3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4C6"/>
  </w:style>
  <w:style w:type="paragraph" w:styleId="Nadpis1">
    <w:name w:val="heading 1"/>
    <w:basedOn w:val="Normln"/>
    <w:next w:val="Normln"/>
    <w:link w:val="Nadpis1Char"/>
    <w:uiPriority w:val="9"/>
    <w:qFormat/>
    <w:rsid w:val="002C3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3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55C"/>
  </w:style>
  <w:style w:type="paragraph" w:styleId="Zpat">
    <w:name w:val="footer"/>
    <w:basedOn w:val="Normln"/>
    <w:link w:val="ZpatChar"/>
    <w:uiPriority w:val="99"/>
    <w:unhideWhenUsed/>
    <w:rsid w:val="002C3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55C"/>
  </w:style>
  <w:style w:type="character" w:customStyle="1" w:styleId="Nadpis1Char">
    <w:name w:val="Nadpis 1 Char"/>
    <w:basedOn w:val="Standardnpsmoodstavce"/>
    <w:link w:val="Nadpis1"/>
    <w:uiPriority w:val="9"/>
    <w:rsid w:val="002C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A65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47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4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654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2034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582">
          <w:marLeft w:val="2475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1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th/xl8tg/Povery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vret.cz/publikace/casopisy/mb/2003-2/?pdf=1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heses.cz/id/v8701c/Slovackova_Katerina_Myty_povery_a_ritualy_pri_porod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cuni.cz/webapps/zzp/detail/2666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0DB8-80C9-4129-A7EF-1268881F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Martínková</dc:creator>
  <cp:keywords/>
  <dc:description/>
  <cp:lastModifiedBy>Lenovo Allinone</cp:lastModifiedBy>
  <cp:revision>3</cp:revision>
  <cp:lastPrinted>2021-03-20T23:17:00Z</cp:lastPrinted>
  <dcterms:created xsi:type="dcterms:W3CDTF">2021-03-20T23:10:00Z</dcterms:created>
  <dcterms:modified xsi:type="dcterms:W3CDTF">2021-03-20T23:17:00Z</dcterms:modified>
</cp:coreProperties>
</file>