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Policy Preference Map</w:t>
      </w:r>
    </w:p>
    <w:p w:rsidR="00000000" w:rsidDel="00000000" w:rsidP="00000000" w:rsidRDefault="00000000" w:rsidRPr="00000000" w14:paraId="00000002">
      <w:pPr>
        <w:jc w:val="both"/>
        <w:rPr/>
      </w:pPr>
      <w:r w:rsidDel="00000000" w:rsidR="00000000" w:rsidRPr="00000000">
        <w:rPr>
          <w:b w:val="1"/>
          <w:sz w:val="28"/>
          <w:szCs w:val="28"/>
          <w:rtl w:val="0"/>
        </w:rPr>
        <w:t xml:space="preserve">Fill the preference map below for all groups (your expectations of the others’ preferences) and send it to us via email before our meeting on March 22. We will not reveal the maps to the other groups till the end of the game.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Main potential outcomes of the negotiations that need to be decided. Remember, we are talking about a solution for future similar crises too:</w:t>
      </w:r>
    </w:p>
    <w:p w:rsidR="00000000" w:rsidDel="00000000" w:rsidP="00000000" w:rsidRDefault="00000000" w:rsidRPr="00000000" w14:paraId="00000004">
      <w:pPr>
        <w:numPr>
          <w:ilvl w:val="2"/>
          <w:numId w:val="1"/>
        </w:numPr>
        <w:spacing w:after="0" w:line="288" w:lineRule="auto"/>
        <w:ind w:left="1080" w:hanging="360"/>
        <w:rPr/>
      </w:pPr>
      <w:r w:rsidDel="00000000" w:rsidR="00000000" w:rsidRPr="00000000">
        <w:rPr>
          <w:rtl w:val="0"/>
        </w:rPr>
        <w:t xml:space="preserve">The EU member states shall adopt the EU4health proposal (€10 billion, grants in selected areas).</w:t>
      </w:r>
    </w:p>
    <w:p w:rsidR="00000000" w:rsidDel="00000000" w:rsidP="00000000" w:rsidRDefault="00000000" w:rsidRPr="00000000" w14:paraId="00000005">
      <w:pPr>
        <w:numPr>
          <w:ilvl w:val="2"/>
          <w:numId w:val="1"/>
        </w:numPr>
        <w:spacing w:after="0" w:line="288" w:lineRule="auto"/>
        <w:ind w:left="1080" w:hanging="360"/>
        <w:rPr/>
      </w:pPr>
      <w:r w:rsidDel="00000000" w:rsidR="00000000" w:rsidRPr="00000000">
        <w:rPr>
          <w:rtl w:val="0"/>
        </w:rPr>
        <w:t xml:space="preserve">Vaccinations shall be acquired, purchased, and distributed by the European Commission also during future pandemics, and the EU member states shall respect the EMA decisions.</w:t>
      </w:r>
    </w:p>
    <w:p w:rsidR="00000000" w:rsidDel="00000000" w:rsidP="00000000" w:rsidRDefault="00000000" w:rsidRPr="00000000" w14:paraId="00000006">
      <w:pPr>
        <w:numPr>
          <w:ilvl w:val="2"/>
          <w:numId w:val="1"/>
        </w:numPr>
        <w:spacing w:after="0" w:line="288" w:lineRule="auto"/>
        <w:ind w:left="1080" w:hanging="360"/>
        <w:rPr/>
      </w:pPr>
      <w:r w:rsidDel="00000000" w:rsidR="00000000" w:rsidRPr="00000000">
        <w:rPr>
          <w:rtl w:val="0"/>
        </w:rPr>
        <w:t xml:space="preserve">The EU member states shall respect common border closures rules and resort to non-discriminatory measures to constrain the free movement across borders. The rules shall be based on the draft of the Council Regulation. (The alternative is to preserve mobility restrictions within the EU until the herd immunity stage is reached or until the epidemics subsides.)</w:t>
      </w:r>
    </w:p>
    <w:p w:rsidR="00000000" w:rsidDel="00000000" w:rsidP="00000000" w:rsidRDefault="00000000" w:rsidRPr="00000000" w14:paraId="00000007">
      <w:pPr>
        <w:numPr>
          <w:ilvl w:val="2"/>
          <w:numId w:val="1"/>
        </w:numPr>
        <w:spacing w:after="0" w:line="288" w:lineRule="auto"/>
        <w:ind w:left="1080" w:hanging="360"/>
        <w:rPr/>
      </w:pPr>
      <w:r w:rsidDel="00000000" w:rsidR="00000000" w:rsidRPr="00000000">
        <w:rPr>
          <w:rtl w:val="0"/>
        </w:rPr>
        <w:t xml:space="preserve">Introduction of covid passports according to common rules (including the prerequisite of vaccination by vaccines approved by the EMA).</w:t>
      </w:r>
    </w:p>
    <w:p w:rsidR="00000000" w:rsidDel="00000000" w:rsidP="00000000" w:rsidRDefault="00000000" w:rsidRPr="00000000" w14:paraId="00000008">
      <w:pPr>
        <w:numPr>
          <w:ilvl w:val="2"/>
          <w:numId w:val="1"/>
        </w:numPr>
        <w:spacing w:after="0" w:line="288" w:lineRule="auto"/>
        <w:ind w:left="1080" w:hanging="360"/>
        <w:rPr/>
      </w:pPr>
      <w:r w:rsidDel="00000000" w:rsidR="00000000" w:rsidRPr="00000000">
        <w:rPr>
          <w:rtl w:val="0"/>
        </w:rPr>
        <w:t xml:space="preserve">The European Commission shall be entitled to intervene directly in the most afflicted regions, and to interfere with the member states’ health policies, due to large differences in mitigating the pandemic across the EU member states.</w:t>
      </w:r>
    </w:p>
    <w:p w:rsidR="00000000" w:rsidDel="00000000" w:rsidP="00000000" w:rsidRDefault="00000000" w:rsidRPr="00000000" w14:paraId="00000009">
      <w:pPr>
        <w:numPr>
          <w:ilvl w:val="2"/>
          <w:numId w:val="1"/>
        </w:numPr>
        <w:spacing w:after="0" w:line="288" w:lineRule="auto"/>
        <w:ind w:left="1080" w:hanging="360"/>
        <w:rPr/>
      </w:pPr>
      <w:r w:rsidDel="00000000" w:rsidR="00000000" w:rsidRPr="00000000">
        <w:rPr>
          <w:rtl w:val="0"/>
        </w:rPr>
        <w:t xml:space="preserve">The European Commission might condition the EU health funding upon compliance with EU-wide rules.</w:t>
      </w:r>
    </w:p>
    <w:p w:rsidR="00000000" w:rsidDel="00000000" w:rsidP="00000000" w:rsidRDefault="00000000" w:rsidRPr="00000000" w14:paraId="0000000A">
      <w:pPr>
        <w:spacing w:after="0" w:line="288" w:lineRule="auto"/>
        <w:ind w:left="1080" w:firstLine="0"/>
        <w:rPr/>
      </w:pPr>
      <w:r w:rsidDel="00000000" w:rsidR="00000000" w:rsidRPr="00000000">
        <w:rPr>
          <w:rtl w:val="0"/>
        </w:rPr>
      </w:r>
    </w:p>
    <w:p w:rsidR="00000000" w:rsidDel="00000000" w:rsidP="00000000" w:rsidRDefault="00000000" w:rsidRPr="00000000" w14:paraId="0000000B">
      <w:pPr>
        <w:spacing w:after="0" w:lineRule="auto"/>
        <w:rPr>
          <w:b w:val="1"/>
        </w:rPr>
      </w:pPr>
      <w:r w:rsidDel="00000000" w:rsidR="00000000" w:rsidRPr="00000000">
        <w:rPr>
          <w:b w:val="1"/>
          <w:rtl w:val="0"/>
        </w:rPr>
        <w:t xml:space="preserve">Fill your preferences to each option (i) – (vi): 1 = fully agree - 3 = partly agree, but there are some aspects that need to be changed/require clarification - 5 - completely disagree. </w:t>
      </w:r>
    </w:p>
    <w:p w:rsidR="00000000" w:rsidDel="00000000" w:rsidP="00000000" w:rsidRDefault="00000000" w:rsidRPr="00000000" w14:paraId="0000000C">
      <w:pPr>
        <w:spacing w:after="0" w:line="288" w:lineRule="auto"/>
        <w:rPr/>
      </w:pPr>
      <w:r w:rsidDel="00000000" w:rsidR="00000000" w:rsidRPr="00000000">
        <w:rPr>
          <w:rtl w:val="0"/>
        </w:rPr>
      </w:r>
    </w:p>
    <w:tbl>
      <w:tblPr>
        <w:tblStyle w:val="Table1"/>
        <w:tblW w:w="9288.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235"/>
        <w:gridCol w:w="1105"/>
        <w:gridCol w:w="1163"/>
        <w:gridCol w:w="1134"/>
        <w:gridCol w:w="1275"/>
        <w:gridCol w:w="1205"/>
        <w:gridCol w:w="1171"/>
        <w:tblGridChange w:id="0">
          <w:tblGrid>
            <w:gridCol w:w="2235"/>
            <w:gridCol w:w="1105"/>
            <w:gridCol w:w="1163"/>
            <w:gridCol w:w="1134"/>
            <w:gridCol w:w="1275"/>
            <w:gridCol w:w="1205"/>
            <w:gridCol w:w="1171"/>
          </w:tblGrid>
        </w:tblGridChange>
      </w:tblGrid>
      <w:t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0D">
            <w:pPr>
              <w:spacing w:after="0" w:line="276" w:lineRule="auto"/>
              <w:jc w:val="both"/>
              <w:rPr>
                <w:b w:val="1"/>
              </w:rPr>
            </w:pPr>
            <w:r w:rsidDel="00000000" w:rsidR="00000000" w:rsidRPr="00000000">
              <w:rPr>
                <w:b w:val="1"/>
                <w:rtl w:val="0"/>
              </w:rPr>
              <w:t xml:space="preserve">Groups / Outcomes</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0E">
            <w:pPr>
              <w:spacing w:after="0" w:line="276" w:lineRule="auto"/>
              <w:jc w:val="both"/>
              <w:rPr>
                <w:b w:val="1"/>
              </w:rPr>
            </w:pPr>
            <w:r w:rsidDel="00000000" w:rsidR="00000000" w:rsidRPr="00000000">
              <w:rPr>
                <w:b w:val="1"/>
                <w:rtl w:val="0"/>
              </w:rPr>
              <w:t xml:space="preserve">i</w:t>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0F">
            <w:pPr>
              <w:spacing w:after="0" w:line="276" w:lineRule="auto"/>
              <w:jc w:val="both"/>
              <w:rPr>
                <w:b w:val="1"/>
              </w:rPr>
            </w:pPr>
            <w:r w:rsidDel="00000000" w:rsidR="00000000" w:rsidRPr="00000000">
              <w:rPr>
                <w:b w:val="1"/>
                <w:rtl w:val="0"/>
              </w:rPr>
              <w:t xml:space="preserve">ii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0">
            <w:pPr>
              <w:spacing w:after="0" w:line="276" w:lineRule="auto"/>
              <w:jc w:val="both"/>
              <w:rPr>
                <w:b w:val="1"/>
              </w:rPr>
            </w:pPr>
            <w:r w:rsidDel="00000000" w:rsidR="00000000" w:rsidRPr="00000000">
              <w:rPr>
                <w:b w:val="1"/>
                <w:rtl w:val="0"/>
              </w:rPr>
              <w:t xml:space="preserve">iii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1">
            <w:pPr>
              <w:spacing w:after="0" w:line="276" w:lineRule="auto"/>
              <w:jc w:val="both"/>
              <w:rPr>
                <w:b w:val="1"/>
              </w:rPr>
            </w:pPr>
            <w:r w:rsidDel="00000000" w:rsidR="00000000" w:rsidRPr="00000000">
              <w:rPr>
                <w:b w:val="1"/>
                <w:rtl w:val="0"/>
              </w:rPr>
              <w:t xml:space="preserve">iv</w:t>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12">
            <w:pPr>
              <w:spacing w:after="0" w:line="276" w:lineRule="auto"/>
              <w:jc w:val="both"/>
              <w:rPr>
                <w:b w:val="1"/>
              </w:rPr>
            </w:pPr>
            <w:r w:rsidDel="00000000" w:rsidR="00000000" w:rsidRPr="00000000">
              <w:rPr>
                <w:b w:val="1"/>
                <w:rtl w:val="0"/>
              </w:rPr>
              <w:t xml:space="preserve">v</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3">
            <w:pPr>
              <w:spacing w:after="0" w:line="276" w:lineRule="auto"/>
              <w:jc w:val="both"/>
              <w:rPr>
                <w:b w:val="1"/>
              </w:rPr>
            </w:pPr>
            <w:r w:rsidDel="00000000" w:rsidR="00000000" w:rsidRPr="00000000">
              <w:rPr>
                <w:b w:val="1"/>
                <w:rtl w:val="0"/>
              </w:rPr>
              <w:t xml:space="preserve">vi</w:t>
            </w:r>
          </w:p>
        </w:tc>
      </w:tr>
      <w:t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4">
            <w:pPr>
              <w:spacing w:after="0" w:line="276" w:lineRule="auto"/>
              <w:jc w:val="both"/>
              <w:rPr/>
            </w:pPr>
            <w:r w:rsidDel="00000000" w:rsidR="00000000" w:rsidRPr="00000000">
              <w:rPr>
                <w:rtl w:val="0"/>
              </w:rPr>
              <w:t xml:space="preserve">European Commission</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5">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16">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7">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8">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19">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A">
            <w:pPr>
              <w:spacing w:after="0" w:line="276" w:lineRule="auto"/>
              <w:jc w:val="both"/>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B">
            <w:pPr>
              <w:spacing w:after="0" w:line="276" w:lineRule="auto"/>
              <w:jc w:val="both"/>
              <w:rPr/>
            </w:pPr>
            <w:r w:rsidDel="00000000" w:rsidR="00000000" w:rsidRPr="00000000">
              <w:rPr>
                <w:rtl w:val="0"/>
              </w:rPr>
              <w:t xml:space="preserve">Germany</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C">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1D">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E">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F">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20">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1">
            <w:pPr>
              <w:spacing w:after="0" w:line="276" w:lineRule="auto"/>
              <w:jc w:val="both"/>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2">
            <w:pPr>
              <w:spacing w:after="0" w:line="276" w:lineRule="auto"/>
              <w:jc w:val="both"/>
              <w:rPr/>
            </w:pPr>
            <w:r w:rsidDel="00000000" w:rsidR="00000000" w:rsidRPr="00000000">
              <w:rPr>
                <w:rtl w:val="0"/>
              </w:rPr>
              <w:t xml:space="preserve">France</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3">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24">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5">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6">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27">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8">
            <w:pPr>
              <w:spacing w:after="0" w:line="276" w:lineRule="auto"/>
              <w:jc w:val="both"/>
              <w:rPr/>
            </w:pPr>
            <w:r w:rsidDel="00000000" w:rsidR="00000000" w:rsidRPr="00000000">
              <w:rPr>
                <w:rtl w:val="0"/>
              </w:rPr>
            </w:r>
          </w:p>
        </w:tc>
      </w:tr>
      <w:tr>
        <w:tc>
          <w:tcPr>
            <w:tcBorders>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9">
            <w:pPr>
              <w:spacing w:after="0" w:line="276" w:lineRule="auto"/>
              <w:jc w:val="both"/>
              <w:rPr/>
            </w:pPr>
            <w:r w:rsidDel="00000000" w:rsidR="00000000" w:rsidRPr="00000000">
              <w:rPr>
                <w:rtl w:val="0"/>
              </w:rPr>
              <w:t xml:space="preserve">Czechia and Hungary</w:t>
            </w:r>
          </w:p>
        </w:tc>
        <w:tc>
          <w:tcPr>
            <w:tcBorders>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A">
            <w:pPr>
              <w:spacing w:after="0" w:line="276" w:lineRule="auto"/>
              <w:jc w:val="both"/>
              <w:rPr/>
            </w:pPr>
            <w:r w:rsidDel="00000000" w:rsidR="00000000" w:rsidRPr="00000000">
              <w:rPr>
                <w:rtl w:val="0"/>
              </w:rPr>
            </w:r>
          </w:p>
        </w:tc>
        <w:tc>
          <w:tcPr>
            <w:tcBorders>
              <w:left w:color="00000a" w:space="0" w:sz="4" w:val="single"/>
              <w:bottom w:color="00000a" w:space="0" w:sz="4" w:val="single"/>
              <w:right w:color="00000a" w:space="0" w:sz="4" w:val="single"/>
            </w:tcBorders>
          </w:tcPr>
          <w:p w:rsidR="00000000" w:rsidDel="00000000" w:rsidP="00000000" w:rsidRDefault="00000000" w:rsidRPr="00000000" w14:paraId="0000002B">
            <w:pPr>
              <w:spacing w:after="0" w:line="276" w:lineRule="auto"/>
              <w:jc w:val="both"/>
              <w:rPr/>
            </w:pPr>
            <w:r w:rsidDel="00000000" w:rsidR="00000000" w:rsidRPr="00000000">
              <w:rPr>
                <w:rtl w:val="0"/>
              </w:rPr>
            </w:r>
          </w:p>
        </w:tc>
        <w:tc>
          <w:tcPr>
            <w:tcBorders>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C">
            <w:pPr>
              <w:spacing w:after="0" w:line="276" w:lineRule="auto"/>
              <w:jc w:val="both"/>
              <w:rPr/>
            </w:pPr>
            <w:r w:rsidDel="00000000" w:rsidR="00000000" w:rsidRPr="00000000">
              <w:rPr>
                <w:rtl w:val="0"/>
              </w:rPr>
            </w:r>
          </w:p>
        </w:tc>
        <w:tc>
          <w:tcPr>
            <w:tcBorders>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D">
            <w:pPr>
              <w:spacing w:after="0" w:line="276" w:lineRule="auto"/>
              <w:jc w:val="both"/>
              <w:rPr/>
            </w:pPr>
            <w:r w:rsidDel="00000000" w:rsidR="00000000" w:rsidRPr="00000000">
              <w:rPr>
                <w:rtl w:val="0"/>
              </w:rPr>
            </w:r>
          </w:p>
        </w:tc>
        <w:tc>
          <w:tcPr>
            <w:tcBorders>
              <w:left w:color="00000a" w:space="0" w:sz="4" w:val="single"/>
              <w:bottom w:color="00000a" w:space="0" w:sz="4" w:val="single"/>
              <w:right w:color="00000a" w:space="0" w:sz="4" w:val="single"/>
            </w:tcBorders>
          </w:tcPr>
          <w:p w:rsidR="00000000" w:rsidDel="00000000" w:rsidP="00000000" w:rsidRDefault="00000000" w:rsidRPr="00000000" w14:paraId="0000002E">
            <w:pPr>
              <w:spacing w:after="0" w:line="276" w:lineRule="auto"/>
              <w:jc w:val="both"/>
              <w:rPr/>
            </w:pPr>
            <w:r w:rsidDel="00000000" w:rsidR="00000000" w:rsidRPr="00000000">
              <w:rPr>
                <w:rtl w:val="0"/>
              </w:rPr>
            </w:r>
          </w:p>
        </w:tc>
        <w:tc>
          <w:tcPr>
            <w:tcBorders>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F">
            <w:pPr>
              <w:spacing w:after="0" w:line="276" w:lineRule="auto"/>
              <w:jc w:val="both"/>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0">
            <w:pPr>
              <w:spacing w:after="0" w:line="276" w:lineRule="auto"/>
              <w:jc w:val="both"/>
              <w:rPr/>
            </w:pPr>
            <w:r w:rsidDel="00000000" w:rsidR="00000000" w:rsidRPr="00000000">
              <w:rPr>
                <w:rtl w:val="0"/>
              </w:rPr>
              <w:t xml:space="preserve">Spain and Greece</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1">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32">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3">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4">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Pr>
          <w:p w:rsidR="00000000" w:rsidDel="00000000" w:rsidP="00000000" w:rsidRDefault="00000000" w:rsidRPr="00000000" w14:paraId="00000035">
            <w:pPr>
              <w:spacing w:after="0" w:line="276" w:lineRule="auto"/>
              <w:jc w:val="both"/>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6">
            <w:pPr>
              <w:spacing w:after="0" w:line="276" w:lineRule="auto"/>
              <w:jc w:val="both"/>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after="0" w:line="288" w:lineRule="auto"/>
        <w:rPr/>
      </w:pPr>
      <w:r w:rsidDel="00000000" w:rsidR="00000000" w:rsidRPr="00000000">
        <w:rPr>
          <w:rtl w:val="0"/>
        </w:rPr>
        <w:t xml:space="preserve">We encourage you to come up with another potential outcome as well!</w:t>
      </w:r>
    </w:p>
    <w:p w:rsidR="00000000" w:rsidDel="00000000" w:rsidP="00000000" w:rsidRDefault="00000000" w:rsidRPr="00000000" w14:paraId="00000039">
      <w:pPr>
        <w:rPr/>
      </w:pPr>
      <w:r w:rsidDel="00000000" w:rsidR="00000000" w:rsidRPr="00000000">
        <w:rPr>
          <w:rtl w:val="0"/>
        </w:rPr>
      </w:r>
    </w:p>
    <w:sectPr>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23e4f"/>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