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Smlouva o výuce</w:t>
      </w:r>
    </w:p>
    <w:p w:rsidR="00000000" w:rsidDel="00000000" w:rsidP="00000000" w:rsidRDefault="00000000" w:rsidRPr="00000000" w14:paraId="00000002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Učitelé: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JUDr. Mgr. Michal Urban, Ph.D.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učitel působící na Gymnáziu Jana Keplera</w:t>
        <w:tab/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 v kabinetě společenských věd vedle učebny ÚSV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dále společně jen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„učitel“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Student/ka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  <w:tab/>
        <w:t xml:space="preserve">…................................................................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studující ve třídě  …...............  na Gymnáziu Jana Keplera v Praze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navštěvující ….............................................................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(vyučovaný předmět)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dále jen 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a učitel dále též společně jen 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uzavírají níže uvedeného dne, měsíce a roku v souladu s příslušnými ustanoveními zákona č. 89/2012 Sb., občanský zákoník, v platném znění a dále v souladu s příslušnými předpisy upravující vzdělávání,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tuto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smlouvu o výuce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dále jen 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smlouva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Preambule</w:t>
      </w:r>
    </w:p>
    <w:p w:rsidR="00000000" w:rsidDel="00000000" w:rsidP="00000000" w:rsidRDefault="00000000" w:rsidRPr="00000000" w14:paraId="0000001A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Vzhledem ke skutečnosti, že se smluvní strany budou v následujícím roce potkávat v rámci výuky na Gymnáziu Jana Keplera (dále jen „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gymnázium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“) a že by společně rády vycházely v dobrém, rozhodly se touto smlouvou upravit základní rámec vzájemných práv a povinností a předejít tak budoucím možným neshodám či nedorozuměním.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Práva a povinnosti učitel</w:t>
      </w:r>
      <w:r w:rsidDel="00000000" w:rsidR="00000000" w:rsidRPr="00000000">
        <w:rPr>
          <w:b w:val="1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</w:t>
      </w:r>
      <w:r w:rsidDel="00000000" w:rsidR="00000000" w:rsidRPr="00000000">
        <w:rPr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 zavazuj</w:t>
      </w:r>
      <w:r w:rsidDel="00000000" w:rsidR="00000000" w:rsidRPr="00000000">
        <w:rPr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řádně se připravovat na výuku;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hodnotit práci studentů (tj. práci v hodinách, domácí úkoly, případné ústní zkoušení či testy) podle svých nejlepších schopností spravedlivě a akceptovat relevantní připomínky studentů;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nediskriminovat ani neupřednostňovat jednotlivé studenty na základě jejich etnického původu, náboženství, politického přesvědčení nebo pohlaví;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projevovat řádnou úctu k osobní důstojnosti každého studenta;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usilovat o to, aby výuka byla pro studenty zajímavá, čímž ovšem nezaručuje, že takovou nezbytně pokaždé bude;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usilovat o to, aby teorie byla v hodinách doplněna dostatečným počtem příkladů z praxe;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přiměřené míře zodpovědět studentské dotazy i mimo čas výuky, a to ústně nebo prostřednictvím emailu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urban@</w:t>
        </w:r>
      </w:hyperlink>
      <w:hyperlink r:id="rId8">
        <w:r w:rsidDel="00000000" w:rsidR="00000000" w:rsidRPr="00000000">
          <w:rPr>
            <w:color w:val="000080"/>
            <w:sz w:val="24"/>
            <w:szCs w:val="24"/>
            <w:u w:val="single"/>
            <w:rtl w:val="0"/>
          </w:rPr>
          <w:t xml:space="preserve">gjk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.cz</w:t>
        </w:r>
      </w:hyperlink>
      <w:r w:rsidDel="00000000" w:rsidR="00000000" w:rsidRPr="00000000">
        <w:rPr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dodržovat platný školní řád gymnázia.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Učitel si vyhrazuj</w:t>
      </w:r>
      <w:r w:rsidDel="00000000" w:rsidR="00000000" w:rsidRPr="00000000">
        <w:rPr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právo: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zadat nehlášenou malou písemku, tj. písemku, na jejíž vypracování nebudou mít studenti celou hodinu;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postupovat plně v souladu s platným školním řádem.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1" w:right="0" w:hanging="431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Práva a povinnosti studenta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se zavazuje: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má právo: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7">
      <w:pPr>
        <w:keepNext w:val="1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Společná ustanovení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 porušení povinností jednou ze smluvních stran, má druhá strana nárok na 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Tuto smlouvu lze vypovědět jednostranným písemným prohlášením jedné ze smluvních stran, pokud jedna ze smluvních stran opakovaně a hrubě porušuje práva a povinnosti stanovené touto smlouvou.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1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Závěrečná ustanovení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se uzavírá na dobu určitou, a to do konce školního roku 2017/2018.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vyhotovena ve dvou stejnopisech, z nichž každá ze smluvních stran obdrží po jednom stejnopise.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Tuto smlouvu je možné doplňovat a měnit pouze písemnými a číslovanými dodatky, jejichž obsah bude předem písemně odsouhlasen oběma smluvními stranami.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platná a účinná ode dne jejího podpisu smluvními stranami.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Smluvní strany prohlašují, že jsou způsobilé k právním úkonům bez omezení, že si tuto smlouvu před jejím podpisem přečetly, s jejím obsahem souhlasí a konstatují, že byla uzavřena na základě jejich pravé a svobodné vůle, určitě, vážně a srozumitelně, nikoliv v tísni nebo za jinak jednostranně nevýhodných podmínek. Na důkaz toho připojují své podpisy.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Praze dne …..................................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11.0" w:type="dxa"/>
        <w:jc w:val="left"/>
        <w:tblInd w:w="55.0" w:type="pct"/>
        <w:tblLayout w:type="fixed"/>
        <w:tblLook w:val="0000"/>
      </w:tblPr>
      <w:tblGrid>
        <w:gridCol w:w="5255"/>
        <w:gridCol w:w="5256"/>
        <w:tblGridChange w:id="0">
          <w:tblGrid>
            <w:gridCol w:w="5255"/>
            <w:gridCol w:w="525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Učitel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</w:t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828" w:top="480" w:left="592" w:right="803" w:header="708" w:footer="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-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  <w:vertAlign w:val="baseline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  <w:vertAlign w:val="baseline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  <w:vertAlign w:val="baseline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432" w:hanging="432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ascii="Times New Roman" w:cs="Times New Roman" w:eastAsia="Times New Roman" w:hAnsi="Times New Roman"/>
        <w:b w:val="0"/>
        <w:i w:val="0"/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  <w:vertAlign w:val="baseline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ascii="Times New Roman" w:cs="Times New Roman" w:eastAsia="Times New Roman" w:hAnsi="Times New Roman"/>
        <w:b w:val="0"/>
        <w:i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cs-CZ"/>
    </w:rPr>
  </w:style>
  <w:style w:type="paragraph" w:styleId="Nadpis2">
    <w:name w:val="Nadpis 2"/>
    <w:basedOn w:val="Nadpis"/>
    <w:next w:val="Základnítext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Mangal" w:eastAsia="Microsoft YaHei" w:hAnsi="Arial"/>
      <w:b w:val="1"/>
      <w:bCs w:val="1"/>
      <w:i w:val="1"/>
      <w:iCs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cs-CZ"/>
    </w:rPr>
  </w:style>
  <w:style w:type="paragraph" w:styleId="Nadpis3">
    <w:name w:val="Nadpis 3"/>
    <w:basedOn w:val="Nadpis"/>
    <w:next w:val="Základnítext"/>
    <w:autoRedefine w:val="0"/>
    <w:hidden w:val="0"/>
    <w:qFormat w:val="0"/>
    <w:pPr>
      <w:keepNext w:val="1"/>
      <w:widowControl w:val="0"/>
      <w:numPr>
        <w:ilvl w:val="2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Mangal" w:eastAsia="Microsoft YaHei" w:hAnsi="Arial"/>
      <w:b w:val="1"/>
      <w:bCs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cs-CZ"/>
    </w:rPr>
  </w:style>
  <w:style w:type="paragraph" w:styleId="Nadpis4">
    <w:name w:val="Nadpis 4"/>
    <w:basedOn w:val="Nadpis"/>
    <w:next w:val="Základnítext"/>
    <w:autoRedefine w:val="0"/>
    <w:hidden w:val="0"/>
    <w:qFormat w:val="0"/>
    <w:pPr>
      <w:keepNext w:val="1"/>
      <w:widowControl w:val="0"/>
      <w:numPr>
        <w:ilvl w:val="3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Arial" w:cs="Mangal" w:eastAsia="Microsoft YaHei" w:hAnsi="Arial"/>
      <w:b w:val="1"/>
      <w:bCs w:val="1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cs-CZ"/>
    </w:rPr>
  </w:style>
  <w:style w:type="paragraph" w:styleId="Nadpis5">
    <w:name w:val="Nadpis 5"/>
    <w:basedOn w:val="Nadpis"/>
    <w:next w:val="Základnítext"/>
    <w:autoRedefine w:val="0"/>
    <w:hidden w:val="0"/>
    <w:qFormat w:val="0"/>
    <w:pPr>
      <w:keepNext w:val="1"/>
      <w:widowControl w:val="0"/>
      <w:numPr>
        <w:ilvl w:val="4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Arial" w:cs="Mangal" w:eastAsia="Microsoft YaHei" w:hAnsi="Arial"/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cs-CZ"/>
    </w:rPr>
  </w:style>
  <w:style w:type="paragraph" w:styleId="Nadpis6">
    <w:name w:val="Nadpis 6"/>
    <w:basedOn w:val="Nadpis"/>
    <w:next w:val="Základnítext"/>
    <w:autoRedefine w:val="0"/>
    <w:hidden w:val="0"/>
    <w:qFormat w:val="0"/>
    <w:pPr>
      <w:keepNext w:val="1"/>
      <w:widowControl w:val="0"/>
      <w:numPr>
        <w:ilvl w:val="5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5"/>
    </w:pPr>
    <w:rPr>
      <w:rFonts w:ascii="Arial" w:cs="Mangal" w:eastAsia="Microsoft YaHei" w:hAnsi="Arial"/>
      <w:b w:val="1"/>
      <w:bCs w:val="1"/>
      <w:w w:val="100"/>
      <w:kern w:val="1"/>
      <w:position w:val="-1"/>
      <w:sz w:val="21"/>
      <w:szCs w:val="21"/>
      <w:effect w:val="none"/>
      <w:vertAlign w:val="baseline"/>
      <w:cs w:val="0"/>
      <w:em w:val="none"/>
      <w:lang w:bidi="hi-IN" w:eastAsia="hi-IN" w:val="cs-CZ"/>
    </w:rPr>
  </w:style>
  <w:style w:type="paragraph" w:styleId="Nadpis7">
    <w:name w:val="Nadpis 7"/>
    <w:basedOn w:val="Nadpis"/>
    <w:next w:val="Základnítext"/>
    <w:autoRedefine w:val="0"/>
    <w:hidden w:val="0"/>
    <w:qFormat w:val="0"/>
    <w:pPr>
      <w:keepNext w:val="1"/>
      <w:widowControl w:val="0"/>
      <w:numPr>
        <w:ilvl w:val="6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Arial" w:cs="Mangal" w:eastAsia="Microsoft YaHei" w:hAnsi="Arial"/>
      <w:b w:val="1"/>
      <w:bCs w:val="1"/>
      <w:w w:val="100"/>
      <w:kern w:val="1"/>
      <w:position w:val="-1"/>
      <w:sz w:val="21"/>
      <w:szCs w:val="21"/>
      <w:effect w:val="none"/>
      <w:vertAlign w:val="baseline"/>
      <w:cs w:val="0"/>
      <w:em w:val="none"/>
      <w:lang w:bidi="hi-IN" w:eastAsia="hi-IN" w:val="cs-CZ"/>
    </w:rPr>
  </w:style>
  <w:style w:type="paragraph" w:styleId="Nadpis8">
    <w:name w:val="Nadpis 8"/>
    <w:basedOn w:val="Nadpis"/>
    <w:next w:val="Základnítext"/>
    <w:autoRedefine w:val="0"/>
    <w:hidden w:val="0"/>
    <w:qFormat w:val="0"/>
    <w:pPr>
      <w:keepNext w:val="1"/>
      <w:widowControl w:val="0"/>
      <w:numPr>
        <w:ilvl w:val="7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7"/>
    </w:pPr>
    <w:rPr>
      <w:rFonts w:ascii="Arial" w:cs="Mangal" w:eastAsia="Microsoft YaHei" w:hAnsi="Arial"/>
      <w:b w:val="1"/>
      <w:bCs w:val="1"/>
      <w:w w:val="100"/>
      <w:kern w:val="1"/>
      <w:position w:val="-1"/>
      <w:sz w:val="21"/>
      <w:szCs w:val="21"/>
      <w:effect w:val="none"/>
      <w:vertAlign w:val="baseline"/>
      <w:cs w:val="0"/>
      <w:em w:val="none"/>
      <w:lang w:bidi="hi-IN" w:eastAsia="hi-IN" w:val="cs-CZ"/>
    </w:rPr>
  </w:style>
  <w:style w:type="paragraph" w:styleId="Nadpis9">
    <w:name w:val="Nadpis 9"/>
    <w:basedOn w:val="Nadpis"/>
    <w:next w:val="Základnítext"/>
    <w:autoRedefine w:val="0"/>
    <w:hidden w:val="0"/>
    <w:qFormat w:val="0"/>
    <w:pPr>
      <w:keepNext w:val="1"/>
      <w:widowControl w:val="0"/>
      <w:numPr>
        <w:ilvl w:val="8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Mangal" w:eastAsia="Microsoft YaHei" w:hAnsi="Arial"/>
      <w:b w:val="1"/>
      <w:bCs w:val="1"/>
      <w:w w:val="100"/>
      <w:kern w:val="1"/>
      <w:position w:val="-1"/>
      <w:sz w:val="21"/>
      <w:szCs w:val="21"/>
      <w:effect w:val="none"/>
      <w:vertAlign w:val="baseline"/>
      <w:cs w:val="0"/>
      <w:em w:val="none"/>
      <w:lang w:bidi="hi-IN" w:eastAsia="hi-IN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1">
    <w:name w:val="WW8Num1z1"/>
    <w:next w:val="WW8Num1z1"/>
    <w:autoRedefine w:val="0"/>
    <w:hidden w:val="0"/>
    <w:qFormat w:val="0"/>
    <w:rPr>
      <w:rFonts w:ascii="Times New Roman" w:hAnsi="Times New Roman"/>
      <w:b w:val="0"/>
      <w:bCs w:val="0"/>
      <w:i w:val="0"/>
      <w:iCs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Times New Roman" w:hAnsi="Times New Roman"/>
      <w:b w:val="0"/>
      <w:bCs w:val="0"/>
      <w:i w:val="0"/>
      <w:iCs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Times New Roman" w:hAnsi="Times New Roman"/>
      <w:b w:val="0"/>
      <w:bCs w:val="0"/>
      <w:i w:val="0"/>
      <w:iCs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Times New Roman" w:hAnsi="Times New Roman"/>
      <w:b w:val="0"/>
      <w:bCs w:val="0"/>
      <w:i w:val="0"/>
      <w:iCs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Times New Roman" w:hAnsi="Times New Roman"/>
      <w:b w:val="0"/>
      <w:bCs w:val="0"/>
      <w:i w:val="0"/>
      <w:iCs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tandardnípísmoodstavce2">
    <w:name w:val="Standardní písmo odstavce2"/>
    <w:next w:val="Standardnípísmoodstavce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1">
    <w:name w:val="Standardní písmo odstavce1"/>
    <w:next w:val="Standardnípísmoodstavc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btext">
    <w:name w:val="bbtext"/>
    <w:basedOn w:val="Standardnípísmoodstavce1"/>
    <w:next w:val="bb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ilné">
    <w:name w:val="Silné"/>
    <w:next w:val="Siln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Symbolypročíslování">
    <w:name w:val="Symboly pro číslování"/>
    <w:next w:val="Symbolypročíslování"/>
    <w:autoRedefine w:val="0"/>
    <w:hidden w:val="0"/>
    <w:qFormat w:val="0"/>
    <w:rPr>
      <w:rFonts w:ascii="Times New Roman" w:hAnsi="Times New Roman"/>
      <w:b w:val="0"/>
      <w:bCs w:val="0"/>
      <w:i w:val="0"/>
      <w:iCs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Odrážky">
    <w:name w:val="Odrážky"/>
    <w:next w:val="Odrážky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CharChar">
    <w:name w:val="Char Char"/>
    <w:next w:val="CharChar"/>
    <w:autoRedefine w:val="0"/>
    <w:hidden w:val="0"/>
    <w:qFormat w:val="0"/>
    <w:rPr>
      <w:rFonts w:ascii="Tahoma" w:cs="Mangal" w:eastAsia="SimSun" w:hAnsi="Tahoma"/>
      <w:w w:val="100"/>
      <w:kern w:val="1"/>
      <w:position w:val="-1"/>
      <w:sz w:val="16"/>
      <w:szCs w:val="14"/>
      <w:effect w:val="none"/>
      <w:vertAlign w:val="baseline"/>
      <w:cs w:val="0"/>
      <w:em w:val="none"/>
      <w:lang w:bidi="hi-IN" w:eastAsia="hi-IN"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cs-CZ"/>
    </w:rPr>
  </w:style>
  <w:style w:type="paragraph" w:styleId="Popisek">
    <w:name w:val="Popisek"/>
    <w:basedOn w:val="Normální"/>
    <w:next w:val="Popisek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cs-CZ"/>
    </w:rPr>
  </w:style>
  <w:style w:type="paragraph" w:styleId="Název">
    <w:name w:val="Název"/>
    <w:basedOn w:val="Normální"/>
    <w:next w:val="Podtitu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1"/>
      <w:position w:val="-1"/>
      <w:sz w:val="28"/>
      <w:szCs w:val="24"/>
      <w:effect w:val="none"/>
      <w:vertAlign w:val="baseline"/>
      <w:cs w:val="0"/>
      <w:em w:val="none"/>
      <w:lang w:bidi="hi-IN" w:eastAsia="hi-IN" w:val="cs-CZ"/>
    </w:rPr>
  </w:style>
  <w:style w:type="paragraph" w:styleId="Podtitul">
    <w:name w:val="Podtitul"/>
    <w:basedOn w:val="Nadpis"/>
    <w:next w:val="Základní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Microsoft YaHei" w:hAnsi="Arial"/>
      <w:i w:val="1"/>
      <w:iCs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cs-CZ"/>
    </w:rPr>
  </w:style>
  <w:style w:type="paragraph" w:styleId="Nadpis10">
    <w:name w:val="Nadpis 10"/>
    <w:basedOn w:val="Nadpis"/>
    <w:next w:val="Základnítext"/>
    <w:autoRedefine w:val="0"/>
    <w:hidden w:val="0"/>
    <w:qFormat w:val="0"/>
    <w:pPr>
      <w:keepNext w:val="1"/>
      <w:widowControl w:val="0"/>
      <w:numPr>
        <w:ilvl w:val="0"/>
        <w:numId w:val="2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b w:val="1"/>
      <w:bCs w:val="1"/>
      <w:w w:val="100"/>
      <w:kern w:val="1"/>
      <w:position w:val="-1"/>
      <w:sz w:val="21"/>
      <w:szCs w:val="21"/>
      <w:effect w:val="none"/>
      <w:vertAlign w:val="baseline"/>
      <w:cs w:val="0"/>
      <w:em w:val="none"/>
      <w:lang w:bidi="hi-IN" w:eastAsia="hi-IN" w:val="cs-CZ"/>
    </w:rPr>
  </w:style>
  <w:style w:type="paragraph" w:styleId="Obsahtabulky">
    <w:name w:val="Obsah tabulky"/>
    <w:basedOn w:val="Normální"/>
    <w:next w:val="Obsah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cs-CZ"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cs-CZ"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Mangal" w:eastAsia="SimSun" w:hAnsi="Tahoma"/>
      <w:w w:val="100"/>
      <w:kern w:val="1"/>
      <w:position w:val="-1"/>
      <w:sz w:val="16"/>
      <w:szCs w:val="14"/>
      <w:effect w:val="none"/>
      <w:vertAlign w:val="baseline"/>
      <w:cs w:val="0"/>
      <w:em w:val="none"/>
      <w:lang w:bidi="hi-IN" w:eastAsia="hi-IN" w:val="cs-CZ"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widowControl w:val="0"/>
      <w:tabs>
        <w:tab w:val="center" w:leader="none" w:pos="4536"/>
        <w:tab w:val="right" w:leader="none" w:pos="907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cs-CZ"/>
    </w:rPr>
  </w:style>
  <w:style w:type="paragraph" w:styleId="Nadpistabulky">
    <w:name w:val="Nadpis tabulky"/>
    <w:basedOn w:val="Obsahtabulky"/>
    <w:next w:val="Nadpis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cs-CZ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urban.michal@centrum.cz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urban.michal@centrum.cz" TargetMode="External"/><Relationship Id="rId8" Type="http://schemas.openxmlformats.org/officeDocument/2006/relationships/hyperlink" Target="mailto:urban.michal@centru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54LTMEsX6Q4wr6756ZnsCsIb7w==">AMUW2mV311GVWx/eEXSITRDwQBeQd+xWhHuTZsaRYsMV7XiqqKWUvBEaUnw+Nf9c7sczkKNwYCmGL2pgA+YRQ9GRZl4S5jIvW1/ZVGhBRVKGmYH858EXeOA=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2019-03-14T09:16:00Z</dcterms:created>
  <dc:creator>Michal Urban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