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4BFB4" w14:textId="77777777" w:rsidR="00244B8F" w:rsidRPr="00244B8F" w:rsidRDefault="00244B8F" w:rsidP="00244B8F">
      <w:pPr>
        <w:rPr>
          <w:rFonts w:cstheme="minorHAnsi"/>
          <w:b/>
          <w:bCs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Comparative Overview of Academic Search Engines and Databases</w:t>
      </w:r>
    </w:p>
    <w:p w14:paraId="709B4836" w14:textId="77777777" w:rsidR="00244B8F" w:rsidRPr="00244B8F" w:rsidRDefault="00244B8F" w:rsidP="00244B8F">
      <w:pPr>
        <w:rPr>
          <w:rFonts w:cstheme="minorHAnsi"/>
          <w:b/>
          <w:bCs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Google</w:t>
      </w:r>
    </w:p>
    <w:p w14:paraId="102E2812" w14:textId="77777777" w:rsidR="00244B8F" w:rsidRPr="00244B8F" w:rsidRDefault="00244B8F" w:rsidP="00244B8F">
      <w:pPr>
        <w:numPr>
          <w:ilvl w:val="0"/>
          <w:numId w:val="11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Pros:</w:t>
      </w:r>
      <w:r w:rsidRPr="00244B8F">
        <w:rPr>
          <w:rFonts w:cstheme="minorHAnsi"/>
          <w:sz w:val="24"/>
          <w:szCs w:val="24"/>
          <w:lang w:val="en-GB"/>
        </w:rPr>
        <w:t xml:space="preserve"> High accessibility, provides real-time updates, and is free of charge.</w:t>
      </w:r>
    </w:p>
    <w:p w14:paraId="55C3F61B" w14:textId="77777777" w:rsidR="00244B8F" w:rsidRPr="00244B8F" w:rsidRDefault="00244B8F" w:rsidP="00244B8F">
      <w:pPr>
        <w:numPr>
          <w:ilvl w:val="0"/>
          <w:numId w:val="11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Cons:</w:t>
      </w:r>
      <w:r w:rsidRPr="00244B8F">
        <w:rPr>
          <w:rFonts w:cstheme="minorHAnsi"/>
          <w:sz w:val="24"/>
          <w:szCs w:val="24"/>
          <w:lang w:val="en-GB"/>
        </w:rPr>
        <w:t xml:space="preserve"> Often yields a high volume of non-peer-reviewed or low-quality results.</w:t>
      </w:r>
    </w:p>
    <w:p w14:paraId="59C55328" w14:textId="77777777" w:rsidR="00244B8F" w:rsidRPr="00244B8F" w:rsidRDefault="00244B8F" w:rsidP="00244B8F">
      <w:pPr>
        <w:rPr>
          <w:rFonts w:cstheme="minorHAnsi"/>
          <w:b/>
          <w:bCs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Google Scholar</w:t>
      </w:r>
    </w:p>
    <w:p w14:paraId="02140E36" w14:textId="77777777" w:rsidR="00244B8F" w:rsidRPr="00244B8F" w:rsidRDefault="00244B8F" w:rsidP="00244B8F">
      <w:pPr>
        <w:numPr>
          <w:ilvl w:val="0"/>
          <w:numId w:val="12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Pros:</w:t>
      </w:r>
      <w:r w:rsidRPr="00244B8F">
        <w:rPr>
          <w:rFonts w:cstheme="minorHAnsi"/>
          <w:sz w:val="24"/>
          <w:szCs w:val="24"/>
          <w:lang w:val="en-GB"/>
        </w:rPr>
        <w:t xml:space="preserve"> Specifically indexes primary scientific literature; integrates with </w:t>
      </w:r>
      <w:r w:rsidRPr="00244B8F">
        <w:rPr>
          <w:rFonts w:cstheme="minorHAnsi"/>
          <w:b/>
          <w:bCs/>
          <w:sz w:val="24"/>
          <w:szCs w:val="24"/>
          <w:lang w:val="en-GB"/>
        </w:rPr>
        <w:t>SFX (Link Resolver)</w:t>
      </w:r>
      <w:r w:rsidRPr="00244B8F">
        <w:rPr>
          <w:rFonts w:cstheme="minorHAnsi"/>
          <w:sz w:val="24"/>
          <w:szCs w:val="24"/>
          <w:lang w:val="en-GB"/>
        </w:rPr>
        <w:t xml:space="preserve"> for Charles University (CU) holdings; tracks citation counts and provides "cited by" links for impact assessment.</w:t>
      </w:r>
    </w:p>
    <w:p w14:paraId="5671D793" w14:textId="77777777" w:rsidR="00244B8F" w:rsidRPr="00244B8F" w:rsidRDefault="00244B8F" w:rsidP="00244B8F">
      <w:pPr>
        <w:rPr>
          <w:rFonts w:cstheme="minorHAnsi"/>
          <w:b/>
          <w:bCs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UK-A-Ž (Discovery Service of Charles University)</w:t>
      </w:r>
    </w:p>
    <w:p w14:paraId="686817D1" w14:textId="77777777" w:rsidR="00244B8F" w:rsidRPr="00244B8F" w:rsidRDefault="00244B8F" w:rsidP="00244B8F">
      <w:pPr>
        <w:numPr>
          <w:ilvl w:val="0"/>
          <w:numId w:val="13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Pros:</w:t>
      </w:r>
      <w:r w:rsidRPr="00244B8F">
        <w:rPr>
          <w:rFonts w:cstheme="minorHAnsi"/>
          <w:sz w:val="24"/>
          <w:szCs w:val="24"/>
          <w:lang w:val="en-GB"/>
        </w:rPr>
        <w:t xml:space="preserve"> * Direct access to full-text articles via </w:t>
      </w:r>
      <w:r w:rsidRPr="00244B8F">
        <w:rPr>
          <w:rFonts w:cstheme="minorHAnsi"/>
          <w:b/>
          <w:bCs/>
          <w:sz w:val="24"/>
          <w:szCs w:val="24"/>
          <w:lang w:val="en-GB"/>
        </w:rPr>
        <w:t>SFX</w:t>
      </w:r>
      <w:r w:rsidRPr="00244B8F">
        <w:rPr>
          <w:rFonts w:cstheme="minorHAnsi"/>
          <w:sz w:val="24"/>
          <w:szCs w:val="24"/>
          <w:lang w:val="en-GB"/>
        </w:rPr>
        <w:t>.</w:t>
      </w:r>
    </w:p>
    <w:p w14:paraId="7C668F9A" w14:textId="77777777" w:rsidR="00244B8F" w:rsidRPr="00244B8F" w:rsidRDefault="00244B8F" w:rsidP="00244B8F">
      <w:pPr>
        <w:numPr>
          <w:ilvl w:val="1"/>
          <w:numId w:val="13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sz w:val="24"/>
          <w:szCs w:val="24"/>
          <w:lang w:val="en-GB"/>
        </w:rPr>
        <w:t xml:space="preserve">Includes the </w:t>
      </w:r>
      <w:r w:rsidRPr="00244B8F">
        <w:rPr>
          <w:rFonts w:cstheme="minorHAnsi"/>
          <w:b/>
          <w:bCs/>
          <w:sz w:val="24"/>
          <w:szCs w:val="24"/>
          <w:lang w:val="en-GB"/>
        </w:rPr>
        <w:t>CU Digital Repository</w:t>
      </w:r>
      <w:r w:rsidRPr="00244B8F">
        <w:rPr>
          <w:rFonts w:cstheme="minorHAnsi"/>
          <w:sz w:val="24"/>
          <w:szCs w:val="24"/>
          <w:lang w:val="en-GB"/>
        </w:rPr>
        <w:t xml:space="preserve"> (theses and dissertations), which is essential for searching local research and Czech-language results.</w:t>
      </w:r>
    </w:p>
    <w:p w14:paraId="05A00F9E" w14:textId="77777777" w:rsidR="00244B8F" w:rsidRPr="00244B8F" w:rsidRDefault="00244B8F" w:rsidP="00244B8F">
      <w:pPr>
        <w:numPr>
          <w:ilvl w:val="1"/>
          <w:numId w:val="13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sz w:val="24"/>
          <w:szCs w:val="24"/>
          <w:lang w:val="en-GB"/>
        </w:rPr>
        <w:t>Localized user guides available in Czech for easier navigation.</w:t>
      </w:r>
    </w:p>
    <w:p w14:paraId="6883DFDC" w14:textId="77777777" w:rsidR="00244B8F" w:rsidRPr="00244B8F" w:rsidRDefault="00244B8F" w:rsidP="00244B8F">
      <w:pPr>
        <w:numPr>
          <w:ilvl w:val="1"/>
          <w:numId w:val="13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sz w:val="24"/>
          <w:szCs w:val="24"/>
          <w:lang w:val="en-GB"/>
        </w:rPr>
        <w:t>Quick abstract previews (magnifying glass icon) and integrated citation tools (</w:t>
      </w:r>
      <w:r w:rsidRPr="00244B8F">
        <w:rPr>
          <w:rFonts w:cstheme="minorHAnsi"/>
          <w:b/>
          <w:bCs/>
          <w:sz w:val="24"/>
          <w:szCs w:val="24"/>
          <w:lang w:val="en-GB"/>
        </w:rPr>
        <w:t>Citation-Pro</w:t>
      </w:r>
      <w:r w:rsidRPr="00244B8F">
        <w:rPr>
          <w:rFonts w:cstheme="minorHAnsi"/>
          <w:sz w:val="24"/>
          <w:szCs w:val="24"/>
          <w:lang w:val="en-GB"/>
        </w:rPr>
        <w:t>).</w:t>
      </w:r>
    </w:p>
    <w:p w14:paraId="262FF55B" w14:textId="77777777" w:rsidR="00244B8F" w:rsidRPr="00244B8F" w:rsidRDefault="00244B8F" w:rsidP="00244B8F">
      <w:pPr>
        <w:numPr>
          <w:ilvl w:val="1"/>
          <w:numId w:val="13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sz w:val="24"/>
          <w:szCs w:val="24"/>
          <w:lang w:val="en-GB"/>
        </w:rPr>
        <w:t xml:space="preserve">Integration of </w:t>
      </w:r>
      <w:proofErr w:type="spellStart"/>
      <w:r w:rsidRPr="00244B8F">
        <w:rPr>
          <w:rFonts w:cstheme="minorHAnsi"/>
          <w:b/>
          <w:bCs/>
          <w:sz w:val="24"/>
          <w:szCs w:val="24"/>
          <w:lang w:val="en-GB"/>
        </w:rPr>
        <w:t>PlumX</w:t>
      </w:r>
      <w:proofErr w:type="spellEnd"/>
      <w:r w:rsidRPr="00244B8F">
        <w:rPr>
          <w:rFonts w:cstheme="minorHAnsi"/>
          <w:b/>
          <w:bCs/>
          <w:sz w:val="24"/>
          <w:szCs w:val="24"/>
          <w:lang w:val="en-GB"/>
        </w:rPr>
        <w:t xml:space="preserve"> Metrics</w:t>
      </w:r>
      <w:r w:rsidRPr="00244B8F">
        <w:rPr>
          <w:rFonts w:cstheme="minorHAnsi"/>
          <w:sz w:val="24"/>
          <w:szCs w:val="24"/>
          <w:lang w:val="en-GB"/>
        </w:rPr>
        <w:t xml:space="preserve"> for tracking </w:t>
      </w:r>
      <w:proofErr w:type="spellStart"/>
      <w:r w:rsidRPr="00244B8F">
        <w:rPr>
          <w:rFonts w:cstheme="minorHAnsi"/>
          <w:sz w:val="24"/>
          <w:szCs w:val="24"/>
          <w:lang w:val="en-GB"/>
        </w:rPr>
        <w:t>altmetrics</w:t>
      </w:r>
      <w:proofErr w:type="spellEnd"/>
      <w:r w:rsidRPr="00244B8F">
        <w:rPr>
          <w:rFonts w:cstheme="minorHAnsi"/>
          <w:sz w:val="24"/>
          <w:szCs w:val="24"/>
          <w:lang w:val="en-GB"/>
        </w:rPr>
        <w:t xml:space="preserve"> and the broader citation impact of publications.</w:t>
      </w:r>
    </w:p>
    <w:p w14:paraId="18E47642" w14:textId="77777777" w:rsidR="00244B8F" w:rsidRPr="00244B8F" w:rsidRDefault="00244B8F" w:rsidP="00244B8F">
      <w:pPr>
        <w:numPr>
          <w:ilvl w:val="0"/>
          <w:numId w:val="13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Cons:</w:t>
      </w:r>
      <w:r w:rsidRPr="00244B8F">
        <w:rPr>
          <w:rFonts w:cstheme="minorHAnsi"/>
          <w:sz w:val="24"/>
          <w:szCs w:val="24"/>
          <w:lang w:val="en-GB"/>
        </w:rPr>
        <w:t xml:space="preserve"> The export process to citation managers like </w:t>
      </w:r>
      <w:r w:rsidRPr="00244B8F">
        <w:rPr>
          <w:rFonts w:cstheme="minorHAnsi"/>
          <w:b/>
          <w:bCs/>
          <w:sz w:val="24"/>
          <w:szCs w:val="24"/>
          <w:lang w:val="en-GB"/>
        </w:rPr>
        <w:t>EndNote</w:t>
      </w:r>
      <w:r w:rsidRPr="00244B8F">
        <w:rPr>
          <w:rFonts w:cstheme="minorHAnsi"/>
          <w:sz w:val="24"/>
          <w:szCs w:val="24"/>
          <w:lang w:val="en-GB"/>
        </w:rPr>
        <w:t xml:space="preserve"> can be less intuitive compared to specialized databases.</w:t>
      </w:r>
    </w:p>
    <w:p w14:paraId="0F997F6C" w14:textId="77777777" w:rsidR="00244B8F" w:rsidRPr="00244B8F" w:rsidRDefault="00244B8F" w:rsidP="00244B8F">
      <w:pPr>
        <w:rPr>
          <w:rFonts w:cstheme="minorHAnsi"/>
          <w:b/>
          <w:bCs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PubMed</w:t>
      </w:r>
    </w:p>
    <w:p w14:paraId="0EBA039E" w14:textId="77777777" w:rsidR="00244B8F" w:rsidRPr="00244B8F" w:rsidRDefault="00244B8F" w:rsidP="00244B8F">
      <w:pPr>
        <w:numPr>
          <w:ilvl w:val="0"/>
          <w:numId w:val="14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Pros:</w:t>
      </w:r>
      <w:r w:rsidRPr="00244B8F">
        <w:rPr>
          <w:rFonts w:cstheme="minorHAnsi"/>
          <w:sz w:val="24"/>
          <w:szCs w:val="24"/>
          <w:lang w:val="en-GB"/>
        </w:rPr>
        <w:t xml:space="preserve"> * Extensive coverage of biomedical and chemical literature, making it a primary tool for molecular biology and pharmacology.</w:t>
      </w:r>
    </w:p>
    <w:p w14:paraId="11296C6A" w14:textId="77777777" w:rsidR="00244B8F" w:rsidRPr="00244B8F" w:rsidRDefault="00244B8F" w:rsidP="00244B8F">
      <w:pPr>
        <w:numPr>
          <w:ilvl w:val="1"/>
          <w:numId w:val="14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sz w:val="24"/>
          <w:szCs w:val="24"/>
          <w:lang w:val="en-GB"/>
        </w:rPr>
        <w:t>Free public access.</w:t>
      </w:r>
    </w:p>
    <w:p w14:paraId="7D30D1D5" w14:textId="77777777" w:rsidR="00244B8F" w:rsidRPr="00244B8F" w:rsidRDefault="00244B8F" w:rsidP="00244B8F">
      <w:pPr>
        <w:numPr>
          <w:ilvl w:val="1"/>
          <w:numId w:val="14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Integration with sequence databases:</w:t>
      </w:r>
      <w:r w:rsidRPr="00244B8F">
        <w:rPr>
          <w:rFonts w:cstheme="minorHAnsi"/>
          <w:sz w:val="24"/>
          <w:szCs w:val="24"/>
          <w:lang w:val="en-GB"/>
        </w:rPr>
        <w:t xml:space="preserve"> Publications are directly linked via </w:t>
      </w:r>
      <w:r w:rsidRPr="00244B8F">
        <w:rPr>
          <w:rFonts w:cstheme="minorHAnsi"/>
          <w:b/>
          <w:bCs/>
          <w:sz w:val="24"/>
          <w:szCs w:val="24"/>
          <w:lang w:val="en-GB"/>
        </w:rPr>
        <w:t>PMID</w:t>
      </w:r>
      <w:r w:rsidRPr="00244B8F">
        <w:rPr>
          <w:rFonts w:cstheme="minorHAnsi"/>
          <w:sz w:val="24"/>
          <w:szCs w:val="24"/>
          <w:lang w:val="en-GB"/>
        </w:rPr>
        <w:t xml:space="preserve"> (PubMed ID) to genomic and proteomic data (NCBI Gene/Protein), which is crucial for laboratory research.</w:t>
      </w:r>
    </w:p>
    <w:p w14:paraId="54EEC27A" w14:textId="77777777" w:rsidR="00244B8F" w:rsidRPr="00244B8F" w:rsidRDefault="00244B8F" w:rsidP="00244B8F">
      <w:pPr>
        <w:numPr>
          <w:ilvl w:val="1"/>
          <w:numId w:val="14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sz w:val="24"/>
          <w:szCs w:val="24"/>
          <w:lang w:val="en-GB"/>
        </w:rPr>
        <w:t xml:space="preserve">Easy access to abstracts, direct links to full-text versions, and personalized library management through </w:t>
      </w:r>
      <w:proofErr w:type="spellStart"/>
      <w:r w:rsidRPr="00244B8F">
        <w:rPr>
          <w:rFonts w:cstheme="minorHAnsi"/>
          <w:b/>
          <w:bCs/>
          <w:sz w:val="24"/>
          <w:szCs w:val="24"/>
          <w:lang w:val="en-GB"/>
        </w:rPr>
        <w:t>myNCBI</w:t>
      </w:r>
      <w:proofErr w:type="spellEnd"/>
      <w:r w:rsidRPr="00244B8F">
        <w:rPr>
          <w:rFonts w:cstheme="minorHAnsi"/>
          <w:sz w:val="24"/>
          <w:szCs w:val="24"/>
          <w:lang w:val="en-GB"/>
        </w:rPr>
        <w:t>.</w:t>
      </w:r>
    </w:p>
    <w:p w14:paraId="66A7A3F3" w14:textId="77777777" w:rsidR="00244B8F" w:rsidRPr="00244B8F" w:rsidRDefault="00244B8F" w:rsidP="00244B8F">
      <w:pPr>
        <w:numPr>
          <w:ilvl w:val="0"/>
          <w:numId w:val="14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Cons:</w:t>
      </w:r>
      <w:r w:rsidRPr="00244B8F">
        <w:rPr>
          <w:rFonts w:cstheme="minorHAnsi"/>
          <w:sz w:val="24"/>
          <w:szCs w:val="24"/>
          <w:lang w:val="en-GB"/>
        </w:rPr>
        <w:t xml:space="preserve"> Manual export to </w:t>
      </w:r>
      <w:r w:rsidRPr="00244B8F">
        <w:rPr>
          <w:rFonts w:cstheme="minorHAnsi"/>
          <w:b/>
          <w:bCs/>
          <w:sz w:val="24"/>
          <w:szCs w:val="24"/>
          <w:lang w:val="en-GB"/>
        </w:rPr>
        <w:t>EndNote</w:t>
      </w:r>
      <w:r w:rsidRPr="00244B8F">
        <w:rPr>
          <w:rFonts w:cstheme="minorHAnsi"/>
          <w:sz w:val="24"/>
          <w:szCs w:val="24"/>
          <w:lang w:val="en-GB"/>
        </w:rPr>
        <w:t xml:space="preserve"> requires multiple steps; lacks native forward/backward citation-tracking features.</w:t>
      </w:r>
    </w:p>
    <w:p w14:paraId="4849951E" w14:textId="77777777" w:rsidR="00244B8F" w:rsidRPr="00244B8F" w:rsidRDefault="00244B8F" w:rsidP="00244B8F">
      <w:pPr>
        <w:rPr>
          <w:rFonts w:cstheme="minorHAnsi"/>
          <w:b/>
          <w:bCs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Web of Science (</w:t>
      </w:r>
      <w:proofErr w:type="spellStart"/>
      <w:r w:rsidRPr="00244B8F">
        <w:rPr>
          <w:rFonts w:cstheme="minorHAnsi"/>
          <w:b/>
          <w:bCs/>
          <w:sz w:val="24"/>
          <w:szCs w:val="24"/>
          <w:lang w:val="en-GB"/>
        </w:rPr>
        <w:t>WoS</w:t>
      </w:r>
      <w:proofErr w:type="spellEnd"/>
      <w:r w:rsidRPr="00244B8F">
        <w:rPr>
          <w:rFonts w:cstheme="minorHAnsi"/>
          <w:b/>
          <w:bCs/>
          <w:sz w:val="24"/>
          <w:szCs w:val="24"/>
          <w:lang w:val="en-GB"/>
        </w:rPr>
        <w:t>)</w:t>
      </w:r>
    </w:p>
    <w:p w14:paraId="49EA72B2" w14:textId="77777777" w:rsidR="00244B8F" w:rsidRPr="00244B8F" w:rsidRDefault="00244B8F" w:rsidP="00244B8F">
      <w:pPr>
        <w:numPr>
          <w:ilvl w:val="0"/>
          <w:numId w:val="15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Pros:</w:t>
      </w:r>
      <w:r w:rsidRPr="00244B8F">
        <w:rPr>
          <w:rFonts w:cstheme="minorHAnsi"/>
          <w:sz w:val="24"/>
          <w:szCs w:val="24"/>
          <w:lang w:val="en-GB"/>
        </w:rPr>
        <w:t xml:space="preserve"> * Considered the "gold standard" for citation analysis and mapping.</w:t>
      </w:r>
    </w:p>
    <w:p w14:paraId="423EE57D" w14:textId="77777777" w:rsidR="00244B8F" w:rsidRPr="00244B8F" w:rsidRDefault="00244B8F" w:rsidP="00244B8F">
      <w:pPr>
        <w:numPr>
          <w:ilvl w:val="1"/>
          <w:numId w:val="15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sz w:val="24"/>
          <w:szCs w:val="24"/>
          <w:lang w:val="en-GB"/>
        </w:rPr>
        <w:t xml:space="preserve">Direct access to </w:t>
      </w:r>
      <w:r w:rsidRPr="00244B8F">
        <w:rPr>
          <w:rFonts w:cstheme="minorHAnsi"/>
          <w:b/>
          <w:bCs/>
          <w:sz w:val="24"/>
          <w:szCs w:val="24"/>
          <w:lang w:val="en-GB"/>
        </w:rPr>
        <w:t>Journal Impact Factor (JIF)</w:t>
      </w:r>
      <w:r w:rsidRPr="00244B8F">
        <w:rPr>
          <w:rFonts w:cstheme="minorHAnsi"/>
          <w:sz w:val="24"/>
          <w:szCs w:val="24"/>
          <w:lang w:val="en-GB"/>
        </w:rPr>
        <w:t xml:space="preserve"> and other high-level metrics.</w:t>
      </w:r>
    </w:p>
    <w:p w14:paraId="01F6C98D" w14:textId="77777777" w:rsidR="00244B8F" w:rsidRPr="00244B8F" w:rsidRDefault="00244B8F" w:rsidP="00244B8F">
      <w:pPr>
        <w:numPr>
          <w:ilvl w:val="1"/>
          <w:numId w:val="15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lastRenderedPageBreak/>
        <w:t>Superior EndNote Integration:</w:t>
      </w:r>
      <w:r w:rsidRPr="00244B8F">
        <w:rPr>
          <w:rFonts w:cstheme="minorHAnsi"/>
          <w:sz w:val="24"/>
          <w:szCs w:val="24"/>
          <w:lang w:val="en-GB"/>
        </w:rPr>
        <w:t xml:space="preserve"> Offers the most seamless workflow for moving publications into the EndNote web version (available via CU license) and utilizing the Word "Cite While You Write" plugin.</w:t>
      </w:r>
    </w:p>
    <w:p w14:paraId="739ED13B" w14:textId="77777777" w:rsidR="00244B8F" w:rsidRPr="00244B8F" w:rsidRDefault="00244B8F" w:rsidP="00244B8F">
      <w:pPr>
        <w:numPr>
          <w:ilvl w:val="1"/>
          <w:numId w:val="15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sz w:val="24"/>
          <w:szCs w:val="24"/>
          <w:lang w:val="en-GB"/>
        </w:rPr>
        <w:t xml:space="preserve">Links to full texts via </w:t>
      </w:r>
      <w:r w:rsidRPr="00244B8F">
        <w:rPr>
          <w:rFonts w:cstheme="minorHAnsi"/>
          <w:b/>
          <w:bCs/>
          <w:sz w:val="24"/>
          <w:szCs w:val="24"/>
          <w:lang w:val="en-GB"/>
        </w:rPr>
        <w:t>SFX</w:t>
      </w:r>
      <w:r w:rsidRPr="00244B8F">
        <w:rPr>
          <w:rFonts w:cstheme="minorHAnsi"/>
          <w:sz w:val="24"/>
          <w:szCs w:val="24"/>
          <w:lang w:val="en-GB"/>
        </w:rPr>
        <w:t>.</w:t>
      </w:r>
    </w:p>
    <w:p w14:paraId="2ECDA851" w14:textId="77777777" w:rsidR="00244B8F" w:rsidRPr="00244B8F" w:rsidRDefault="00244B8F" w:rsidP="00244B8F">
      <w:pPr>
        <w:numPr>
          <w:ilvl w:val="0"/>
          <w:numId w:val="15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Cons:</w:t>
      </w:r>
      <w:r w:rsidRPr="00244B8F">
        <w:rPr>
          <w:rFonts w:cstheme="minorHAnsi"/>
          <w:sz w:val="24"/>
          <w:szCs w:val="24"/>
          <w:lang w:val="en-GB"/>
        </w:rPr>
        <w:t xml:space="preserve"> * </w:t>
      </w:r>
      <w:r w:rsidRPr="00244B8F">
        <w:rPr>
          <w:rFonts w:cstheme="minorHAnsi"/>
          <w:b/>
          <w:bCs/>
          <w:sz w:val="24"/>
          <w:szCs w:val="24"/>
          <w:lang w:val="en-GB"/>
        </w:rPr>
        <w:t>Indexing Lag:</w:t>
      </w:r>
      <w:r w:rsidRPr="00244B8F">
        <w:rPr>
          <w:rFonts w:cstheme="minorHAnsi"/>
          <w:sz w:val="24"/>
          <w:szCs w:val="24"/>
          <w:lang w:val="en-GB"/>
        </w:rPr>
        <w:t xml:space="preserve"> There is often a significant delay before high-impact publications are indexed in the database.</w:t>
      </w:r>
    </w:p>
    <w:p w14:paraId="22BEFAC7" w14:textId="77777777" w:rsidR="00244B8F" w:rsidRPr="00244B8F" w:rsidRDefault="00244B8F" w:rsidP="00244B8F">
      <w:pPr>
        <w:numPr>
          <w:ilvl w:val="1"/>
          <w:numId w:val="15"/>
        </w:numPr>
        <w:rPr>
          <w:rFonts w:cstheme="minorHAnsi"/>
          <w:sz w:val="24"/>
          <w:szCs w:val="24"/>
          <w:lang w:val="en-GB"/>
        </w:rPr>
      </w:pPr>
      <w:r w:rsidRPr="00244B8F">
        <w:rPr>
          <w:rFonts w:cstheme="minorHAnsi"/>
          <w:b/>
          <w:bCs/>
          <w:sz w:val="24"/>
          <w:szCs w:val="24"/>
          <w:lang w:val="en-GB"/>
        </w:rPr>
        <w:t>Access:</w:t>
      </w:r>
      <w:r w:rsidRPr="00244B8F">
        <w:rPr>
          <w:rFonts w:cstheme="minorHAnsi"/>
          <w:sz w:val="24"/>
          <w:szCs w:val="24"/>
          <w:lang w:val="en-GB"/>
        </w:rPr>
        <w:t xml:space="preserve"> Requires a costly institutional license (accessible only through university authentication).</w:t>
      </w:r>
    </w:p>
    <w:p w14:paraId="40B2F49F" w14:textId="77777777" w:rsidR="00D758B0" w:rsidRPr="00D758B0" w:rsidRDefault="00D758B0" w:rsidP="00D758B0">
      <w:pPr>
        <w:rPr>
          <w:b/>
          <w:bCs/>
          <w:lang w:val="en-GB"/>
        </w:rPr>
      </w:pPr>
      <w:r w:rsidRPr="00D758B0">
        <w:rPr>
          <w:b/>
          <w:bCs/>
          <w:lang w:val="en-GB"/>
        </w:rPr>
        <w:t>Scopus (</w:t>
      </w:r>
      <w:hyperlink r:id="rId5" w:tgtFrame="_blank" w:history="1">
        <w:r w:rsidRPr="00D758B0">
          <w:rPr>
            <w:rStyle w:val="Hypertextovodkaz"/>
            <w:b/>
            <w:bCs/>
            <w:lang w:val="en-GB"/>
          </w:rPr>
          <w:t>https://www.scopus.com/</w:t>
        </w:r>
      </w:hyperlink>
      <w:r w:rsidRPr="00D758B0">
        <w:rPr>
          <w:b/>
          <w:bCs/>
          <w:lang w:val="en-GB"/>
        </w:rPr>
        <w:t>)</w:t>
      </w:r>
    </w:p>
    <w:p w14:paraId="2C5F4FCE" w14:textId="77777777" w:rsidR="00D758B0" w:rsidRPr="00D758B0" w:rsidRDefault="00D758B0" w:rsidP="00D758B0">
      <w:pPr>
        <w:numPr>
          <w:ilvl w:val="0"/>
          <w:numId w:val="16"/>
        </w:numPr>
        <w:rPr>
          <w:lang w:val="en-GB"/>
        </w:rPr>
      </w:pPr>
      <w:r w:rsidRPr="00D758B0">
        <w:rPr>
          <w:b/>
          <w:bCs/>
          <w:lang w:val="en-GB"/>
        </w:rPr>
        <w:t>Pros:</w:t>
      </w:r>
      <w:r w:rsidRPr="00D758B0">
        <w:rPr>
          <w:lang w:val="en-GB"/>
        </w:rPr>
        <w:t xml:space="preserve"> * </w:t>
      </w:r>
      <w:r w:rsidRPr="00D758B0">
        <w:rPr>
          <w:b/>
          <w:bCs/>
          <w:lang w:val="en-GB"/>
        </w:rPr>
        <w:t>Extensive Coverage:</w:t>
      </w:r>
      <w:r w:rsidRPr="00D758B0">
        <w:rPr>
          <w:lang w:val="en-GB"/>
        </w:rPr>
        <w:t xml:space="preserve"> Offers a broader range of journals and conference proceedings compared to Web of Science, including many European and regional titles.</w:t>
      </w:r>
    </w:p>
    <w:p w14:paraId="5F8555B8" w14:textId="77777777" w:rsidR="00D758B0" w:rsidRPr="00D758B0" w:rsidRDefault="00D758B0" w:rsidP="00D758B0">
      <w:pPr>
        <w:numPr>
          <w:ilvl w:val="1"/>
          <w:numId w:val="16"/>
        </w:numPr>
        <w:rPr>
          <w:lang w:val="en-GB"/>
        </w:rPr>
      </w:pPr>
      <w:r w:rsidRPr="00D758B0">
        <w:rPr>
          <w:b/>
          <w:bCs/>
          <w:lang w:val="en-GB"/>
        </w:rPr>
        <w:t>Author Profiles &amp; Metrics:</w:t>
      </w:r>
      <w:r w:rsidRPr="00D758B0">
        <w:rPr>
          <w:lang w:val="en-GB"/>
        </w:rPr>
        <w:t xml:space="preserve"> A primary platform for tracking an author’s </w:t>
      </w:r>
      <w:r w:rsidRPr="00D758B0">
        <w:rPr>
          <w:b/>
          <w:bCs/>
          <w:lang w:val="en-GB"/>
        </w:rPr>
        <w:t>H-index</w:t>
      </w:r>
      <w:r w:rsidRPr="00D758B0">
        <w:rPr>
          <w:lang w:val="en-GB"/>
        </w:rPr>
        <w:t xml:space="preserve"> and citation counts (essential for academic evaluations and grant applications).</w:t>
      </w:r>
    </w:p>
    <w:p w14:paraId="1936636A" w14:textId="77777777" w:rsidR="00D758B0" w:rsidRPr="00D758B0" w:rsidRDefault="00D758B0" w:rsidP="00D758B0">
      <w:pPr>
        <w:numPr>
          <w:ilvl w:val="1"/>
          <w:numId w:val="16"/>
        </w:numPr>
        <w:rPr>
          <w:lang w:val="en-GB"/>
        </w:rPr>
      </w:pPr>
      <w:r w:rsidRPr="00D758B0">
        <w:rPr>
          <w:b/>
          <w:bCs/>
          <w:lang w:val="en-GB"/>
        </w:rPr>
        <w:t>Advanced Visualization:</w:t>
      </w:r>
      <w:r w:rsidRPr="00D758B0">
        <w:rPr>
          <w:lang w:val="en-GB"/>
        </w:rPr>
        <w:t xml:space="preserve"> Provides built-in tools for </w:t>
      </w:r>
      <w:proofErr w:type="spellStart"/>
      <w:r w:rsidRPr="00D758B0">
        <w:rPr>
          <w:lang w:val="en-GB"/>
        </w:rPr>
        <w:t>analyzing</w:t>
      </w:r>
      <w:proofErr w:type="spellEnd"/>
      <w:r w:rsidRPr="00D758B0">
        <w:rPr>
          <w:lang w:val="en-GB"/>
        </w:rPr>
        <w:t xml:space="preserve"> research trends and comparing journal performance (e.g., </w:t>
      </w:r>
      <w:proofErr w:type="spellStart"/>
      <w:r w:rsidRPr="00D758B0">
        <w:rPr>
          <w:lang w:val="en-GB"/>
        </w:rPr>
        <w:t>CiteScore</w:t>
      </w:r>
      <w:proofErr w:type="spellEnd"/>
      <w:r w:rsidRPr="00D758B0">
        <w:rPr>
          <w:lang w:val="en-GB"/>
        </w:rPr>
        <w:t>).</w:t>
      </w:r>
    </w:p>
    <w:p w14:paraId="56909EBE" w14:textId="77777777" w:rsidR="00D758B0" w:rsidRPr="00D758B0" w:rsidRDefault="00D758B0" w:rsidP="00D758B0">
      <w:pPr>
        <w:numPr>
          <w:ilvl w:val="1"/>
          <w:numId w:val="16"/>
        </w:numPr>
        <w:rPr>
          <w:lang w:val="en-GB"/>
        </w:rPr>
      </w:pPr>
      <w:r w:rsidRPr="00D758B0">
        <w:rPr>
          <w:b/>
          <w:bCs/>
          <w:lang w:val="en-GB"/>
        </w:rPr>
        <w:t>Direct Access via SFX:</w:t>
      </w:r>
      <w:r w:rsidRPr="00D758B0">
        <w:rPr>
          <w:lang w:val="en-GB"/>
        </w:rPr>
        <w:t xml:space="preserve"> Seamless linking to full-text articles through Charles University institutional access.</w:t>
      </w:r>
    </w:p>
    <w:p w14:paraId="0526B293" w14:textId="77777777" w:rsidR="00D758B0" w:rsidRPr="00D758B0" w:rsidRDefault="00D758B0" w:rsidP="00D758B0">
      <w:pPr>
        <w:numPr>
          <w:ilvl w:val="1"/>
          <w:numId w:val="16"/>
        </w:numPr>
        <w:rPr>
          <w:lang w:val="en-GB"/>
        </w:rPr>
      </w:pPr>
      <w:r w:rsidRPr="00D758B0">
        <w:rPr>
          <w:b/>
          <w:bCs/>
          <w:lang w:val="en-GB"/>
        </w:rPr>
        <w:t>Integration with Mendeley:</w:t>
      </w:r>
      <w:r w:rsidRPr="00D758B0">
        <w:rPr>
          <w:lang w:val="en-GB"/>
        </w:rPr>
        <w:t xml:space="preserve"> As an Elsevier product, it offers excellent compatibility with the Mendeley reference manager.</w:t>
      </w:r>
    </w:p>
    <w:p w14:paraId="389D52D2" w14:textId="77777777" w:rsidR="00D758B0" w:rsidRPr="00D758B0" w:rsidRDefault="00D758B0" w:rsidP="00D758B0">
      <w:pPr>
        <w:numPr>
          <w:ilvl w:val="0"/>
          <w:numId w:val="16"/>
        </w:numPr>
        <w:rPr>
          <w:lang w:val="en-GB"/>
        </w:rPr>
      </w:pPr>
      <w:r w:rsidRPr="00D758B0">
        <w:rPr>
          <w:b/>
          <w:bCs/>
          <w:lang w:val="en-GB"/>
        </w:rPr>
        <w:t>Cons:</w:t>
      </w:r>
      <w:r w:rsidRPr="00D758B0">
        <w:rPr>
          <w:lang w:val="en-GB"/>
        </w:rPr>
        <w:t xml:space="preserve"> * </w:t>
      </w:r>
      <w:r w:rsidRPr="00D758B0">
        <w:rPr>
          <w:b/>
          <w:bCs/>
          <w:lang w:val="en-GB"/>
        </w:rPr>
        <w:t>Access:</w:t>
      </w:r>
      <w:r w:rsidRPr="00D758B0">
        <w:rPr>
          <w:lang w:val="en-GB"/>
        </w:rPr>
        <w:t xml:space="preserve"> Requires a paid institutional license (available via CU).</w:t>
      </w:r>
    </w:p>
    <w:p w14:paraId="067F1C95" w14:textId="77777777" w:rsidR="00D758B0" w:rsidRPr="00D758B0" w:rsidRDefault="00D758B0" w:rsidP="00D758B0">
      <w:pPr>
        <w:numPr>
          <w:ilvl w:val="1"/>
          <w:numId w:val="16"/>
        </w:numPr>
        <w:rPr>
          <w:lang w:val="en-GB"/>
        </w:rPr>
      </w:pPr>
      <w:r w:rsidRPr="00D758B0">
        <w:rPr>
          <w:b/>
          <w:bCs/>
          <w:lang w:val="en-GB"/>
        </w:rPr>
        <w:t>Historical Data:</w:t>
      </w:r>
      <w:r w:rsidRPr="00D758B0">
        <w:rPr>
          <w:lang w:val="en-GB"/>
        </w:rPr>
        <w:t xml:space="preserve"> While expanding, its coverage of very old citations (pre-1970) can be less comprehensive than some specialized archives.</w:t>
      </w:r>
    </w:p>
    <w:p w14:paraId="55782EE2" w14:textId="77777777" w:rsidR="00D758B0" w:rsidRPr="00D758B0" w:rsidRDefault="00D758B0" w:rsidP="00D758B0">
      <w:pPr>
        <w:numPr>
          <w:ilvl w:val="1"/>
          <w:numId w:val="16"/>
        </w:numPr>
        <w:rPr>
          <w:lang w:val="en-GB"/>
        </w:rPr>
      </w:pPr>
      <w:r w:rsidRPr="00D758B0">
        <w:rPr>
          <w:b/>
          <w:bCs/>
          <w:lang w:val="en-GB"/>
        </w:rPr>
        <w:t>Export to EndNote:</w:t>
      </w:r>
      <w:r w:rsidRPr="00D758B0">
        <w:rPr>
          <w:lang w:val="en-GB"/>
        </w:rPr>
        <w:t xml:space="preserve"> While possible, it sometimes requires more manual field mapping compared to the native integration seen in Web of Science.</w:t>
      </w:r>
    </w:p>
    <w:p w14:paraId="1B1A0437" w14:textId="77777777" w:rsidR="0048101C" w:rsidRPr="00D758B0" w:rsidRDefault="0048101C" w:rsidP="00244B8F">
      <w:pPr>
        <w:rPr>
          <w:lang w:val="en-GB"/>
        </w:rPr>
      </w:pPr>
    </w:p>
    <w:sectPr w:rsidR="0048101C" w:rsidRPr="00D758B0" w:rsidSect="009A02D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2DD"/>
    <w:multiLevelType w:val="multilevel"/>
    <w:tmpl w:val="D75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356FA"/>
    <w:multiLevelType w:val="multilevel"/>
    <w:tmpl w:val="1002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B7B58"/>
    <w:multiLevelType w:val="multilevel"/>
    <w:tmpl w:val="5BEA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97FA6"/>
    <w:multiLevelType w:val="hybridMultilevel"/>
    <w:tmpl w:val="A51A79F2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7004DD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13483"/>
    <w:multiLevelType w:val="hybridMultilevel"/>
    <w:tmpl w:val="A4E0C636"/>
    <w:lvl w:ilvl="0" w:tplc="7004DDB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EA2AE7"/>
    <w:multiLevelType w:val="multilevel"/>
    <w:tmpl w:val="4B88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8768B"/>
    <w:multiLevelType w:val="multilevel"/>
    <w:tmpl w:val="139E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492E5A"/>
    <w:multiLevelType w:val="hybridMultilevel"/>
    <w:tmpl w:val="DFAED668"/>
    <w:lvl w:ilvl="0" w:tplc="7004DD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96B47"/>
    <w:multiLevelType w:val="hybridMultilevel"/>
    <w:tmpl w:val="43708722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7004DD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8129A"/>
    <w:multiLevelType w:val="multilevel"/>
    <w:tmpl w:val="A942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46EB0"/>
    <w:multiLevelType w:val="hybridMultilevel"/>
    <w:tmpl w:val="32E874D0"/>
    <w:lvl w:ilvl="0" w:tplc="7004DD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D767A3"/>
    <w:multiLevelType w:val="hybridMultilevel"/>
    <w:tmpl w:val="26B8DFCA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D0DBB"/>
    <w:multiLevelType w:val="hybridMultilevel"/>
    <w:tmpl w:val="939C6530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C43B9"/>
    <w:multiLevelType w:val="hybridMultilevel"/>
    <w:tmpl w:val="027E0422"/>
    <w:lvl w:ilvl="0" w:tplc="7004DD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1C483E"/>
    <w:multiLevelType w:val="hybridMultilevel"/>
    <w:tmpl w:val="90DCAEC6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DB0590"/>
    <w:multiLevelType w:val="hybridMultilevel"/>
    <w:tmpl w:val="12105F96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385164">
    <w:abstractNumId w:val="13"/>
  </w:num>
  <w:num w:numId="2" w16cid:durableId="779380167">
    <w:abstractNumId w:val="11"/>
  </w:num>
  <w:num w:numId="3" w16cid:durableId="1310482656">
    <w:abstractNumId w:val="4"/>
  </w:num>
  <w:num w:numId="4" w16cid:durableId="295720736">
    <w:abstractNumId w:val="7"/>
  </w:num>
  <w:num w:numId="5" w16cid:durableId="1374312353">
    <w:abstractNumId w:val="15"/>
  </w:num>
  <w:num w:numId="6" w16cid:durableId="707339297">
    <w:abstractNumId w:val="8"/>
  </w:num>
  <w:num w:numId="7" w16cid:durableId="1874493032">
    <w:abstractNumId w:val="12"/>
  </w:num>
  <w:num w:numId="8" w16cid:durableId="1508012510">
    <w:abstractNumId w:val="14"/>
  </w:num>
  <w:num w:numId="9" w16cid:durableId="1561791945">
    <w:abstractNumId w:val="10"/>
  </w:num>
  <w:num w:numId="10" w16cid:durableId="2009206758">
    <w:abstractNumId w:val="3"/>
  </w:num>
  <w:num w:numId="11" w16cid:durableId="899632588">
    <w:abstractNumId w:val="6"/>
  </w:num>
  <w:num w:numId="12" w16cid:durableId="325089218">
    <w:abstractNumId w:val="9"/>
  </w:num>
  <w:num w:numId="13" w16cid:durableId="478809054">
    <w:abstractNumId w:val="2"/>
  </w:num>
  <w:num w:numId="14" w16cid:durableId="666439580">
    <w:abstractNumId w:val="1"/>
  </w:num>
  <w:num w:numId="15" w16cid:durableId="1350915069">
    <w:abstractNumId w:val="0"/>
  </w:num>
  <w:num w:numId="16" w16cid:durableId="1557661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72E"/>
    <w:rsid w:val="00035DFD"/>
    <w:rsid w:val="00244B8F"/>
    <w:rsid w:val="0048101C"/>
    <w:rsid w:val="005C367C"/>
    <w:rsid w:val="00613105"/>
    <w:rsid w:val="009644F0"/>
    <w:rsid w:val="009A02D3"/>
    <w:rsid w:val="009D3245"/>
    <w:rsid w:val="00B5472E"/>
    <w:rsid w:val="00B9396A"/>
    <w:rsid w:val="00D7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3EAB"/>
  <w15:chartTrackingRefBased/>
  <w15:docId w15:val="{AD038A5C-7ABD-46F9-9D3B-11152CDB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47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5472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5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01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512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42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0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620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7998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39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564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10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15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194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745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4537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973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011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2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https://www.scopu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2026-02-23T13:19:00Z</dcterms:created>
  <dcterms:modified xsi:type="dcterms:W3CDTF">2026-02-23T13:22:00Z</dcterms:modified>
</cp:coreProperties>
</file>