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E10F1B" w14:textId="41C1C988" w:rsidR="002D386E" w:rsidRDefault="002D386E" w:rsidP="00D8608D">
      <w:pPr>
        <w:spacing w:before="240" w:line="360" w:lineRule="auto"/>
        <w:ind w:firstLine="432"/>
        <w:jc w:val="both"/>
        <w:rPr>
          <w:sz w:val="18"/>
          <w:szCs w:val="18"/>
        </w:rPr>
      </w:pPr>
      <w:proofErr w:type="spellStart"/>
      <w:r>
        <w:rPr>
          <w:i/>
          <w:iCs/>
          <w:sz w:val="18"/>
          <w:szCs w:val="18"/>
        </w:rPr>
        <w:t>Fallā</w:t>
      </w:r>
      <w:r w:rsidR="00D8608D">
        <w:rPr>
          <w:i/>
          <w:iCs/>
          <w:sz w:val="18"/>
          <w:szCs w:val="18"/>
        </w:rPr>
        <w:t>ḥ</w:t>
      </w:r>
      <w:r>
        <w:rPr>
          <w:i/>
          <w:iCs/>
          <w:sz w:val="18"/>
          <w:szCs w:val="18"/>
        </w:rPr>
        <w:t>a</w:t>
      </w:r>
      <w:proofErr w:type="spellEnd"/>
      <w:r>
        <w:rPr>
          <w:sz w:val="18"/>
          <w:szCs w:val="18"/>
        </w:rPr>
        <w:t xml:space="preserve"> vnímá </w:t>
      </w:r>
      <w:proofErr w:type="spellStart"/>
      <w:r>
        <w:rPr>
          <w:b/>
          <w:bCs/>
          <w:sz w:val="18"/>
          <w:szCs w:val="18"/>
        </w:rPr>
        <w:t>Taufīq</w:t>
      </w:r>
      <w:proofErr w:type="spellEnd"/>
      <w:r>
        <w:rPr>
          <w:b/>
          <w:bCs/>
          <w:sz w:val="18"/>
          <w:szCs w:val="18"/>
        </w:rPr>
        <w:t xml:space="preserve"> al-</w:t>
      </w:r>
      <w:proofErr w:type="spellStart"/>
      <w:r w:rsidR="00D8608D">
        <w:rPr>
          <w:b/>
          <w:bCs/>
          <w:sz w:val="18"/>
          <w:szCs w:val="18"/>
        </w:rPr>
        <w:t>Ḥ</w:t>
      </w:r>
      <w:r>
        <w:rPr>
          <w:b/>
          <w:bCs/>
          <w:sz w:val="18"/>
          <w:szCs w:val="18"/>
        </w:rPr>
        <w:t>akīm</w:t>
      </w:r>
      <w:proofErr w:type="spellEnd"/>
      <w:r>
        <w:rPr>
          <w:sz w:val="18"/>
          <w:szCs w:val="18"/>
        </w:rPr>
        <w:t xml:space="preserve"> jako dědice duchovního odkazu staroegyptské civilizace, a tudíž i nositele věčného ducha faraónského Egypta. Významným rysem </w:t>
      </w:r>
      <w:proofErr w:type="spellStart"/>
      <w:r w:rsidR="00D8608D">
        <w:rPr>
          <w:i/>
          <w:iCs/>
          <w:sz w:val="18"/>
          <w:szCs w:val="18"/>
        </w:rPr>
        <w:t>f</w:t>
      </w:r>
      <w:r w:rsidR="00D8608D">
        <w:rPr>
          <w:i/>
          <w:iCs/>
          <w:sz w:val="18"/>
          <w:szCs w:val="18"/>
        </w:rPr>
        <w:t>allāḥ</w:t>
      </w:r>
      <w:r w:rsidR="00D8608D">
        <w:rPr>
          <w:i/>
          <w:iCs/>
          <w:sz w:val="18"/>
          <w:szCs w:val="18"/>
        </w:rPr>
        <w:t>a</w:t>
      </w:r>
      <w:proofErr w:type="spellEnd"/>
      <w:r>
        <w:rPr>
          <w:sz w:val="18"/>
          <w:szCs w:val="18"/>
        </w:rPr>
        <w:t xml:space="preserve"> je jeho zbožnost, jíž se podobá starým Egypťanům. K dalším aspektům jeho literární charakteristiky patří to, že je zobrazován jako očitý svědek egyptských dějin i jako první obyvatel nilského údolí, jenž si po celá tisíciletí zachovával svůj způsob života a myšlení. Narativní srovnání postavy</w:t>
      </w:r>
      <w:r w:rsidR="00D8608D" w:rsidRPr="00D8608D">
        <w:rPr>
          <w:i/>
          <w:iCs/>
          <w:sz w:val="18"/>
          <w:szCs w:val="18"/>
        </w:rPr>
        <w:t xml:space="preserve"> </w:t>
      </w:r>
      <w:proofErr w:type="spellStart"/>
      <w:r w:rsidR="00D8608D">
        <w:rPr>
          <w:i/>
          <w:iCs/>
          <w:sz w:val="18"/>
          <w:szCs w:val="18"/>
        </w:rPr>
        <w:t>fallāḥa</w:t>
      </w:r>
      <w:proofErr w:type="spellEnd"/>
      <w:r>
        <w:rPr>
          <w:sz w:val="18"/>
          <w:szCs w:val="18"/>
        </w:rPr>
        <w:t xml:space="preserve"> a nomáda však působí značně didakticky, neboť vychází ze schématického posuzování údajů, které jsou v románovém textu připisovány jak </w:t>
      </w:r>
      <w:proofErr w:type="spellStart"/>
      <w:r w:rsidR="00D8608D">
        <w:rPr>
          <w:i/>
          <w:iCs/>
          <w:sz w:val="18"/>
          <w:szCs w:val="18"/>
        </w:rPr>
        <w:t>fallāḥ</w:t>
      </w:r>
      <w:r w:rsidR="00D8608D">
        <w:rPr>
          <w:i/>
          <w:iCs/>
          <w:sz w:val="18"/>
          <w:szCs w:val="18"/>
        </w:rPr>
        <w:t>ovi</w:t>
      </w:r>
      <w:proofErr w:type="spellEnd"/>
      <w:r>
        <w:rPr>
          <w:sz w:val="18"/>
          <w:szCs w:val="18"/>
        </w:rPr>
        <w:t xml:space="preserve">, tak i beduínovi na základě jednostranného hodnocení, jehož smyslem je idealistický pohled na </w:t>
      </w:r>
      <w:proofErr w:type="spellStart"/>
      <w:r w:rsidR="00D8608D">
        <w:rPr>
          <w:i/>
          <w:iCs/>
          <w:sz w:val="18"/>
          <w:szCs w:val="18"/>
        </w:rPr>
        <w:t>fallāḥa</w:t>
      </w:r>
      <w:proofErr w:type="spellEnd"/>
      <w:r>
        <w:rPr>
          <w:sz w:val="18"/>
          <w:szCs w:val="18"/>
        </w:rPr>
        <w:t xml:space="preserve">. Osobnost egyptského rolníka / </w:t>
      </w:r>
      <w:proofErr w:type="spellStart"/>
      <w:r w:rsidR="00D8608D">
        <w:rPr>
          <w:i/>
          <w:iCs/>
          <w:sz w:val="18"/>
          <w:szCs w:val="18"/>
        </w:rPr>
        <w:t>fallāḥa</w:t>
      </w:r>
      <w:proofErr w:type="spellEnd"/>
      <w:r>
        <w:rPr>
          <w:sz w:val="18"/>
          <w:szCs w:val="18"/>
        </w:rPr>
        <w:t xml:space="preserve"> vychází ze souboru kladných vlastností tvořících symbolický předobraz „věčné egyptské národní entity“.</w:t>
      </w:r>
    </w:p>
    <w:p w14:paraId="0F0D3B6E" w14:textId="43FAB98A" w:rsidR="002D386E" w:rsidRDefault="002D386E" w:rsidP="00D8608D">
      <w:pPr>
        <w:spacing w:before="240" w:line="360" w:lineRule="auto"/>
        <w:ind w:firstLine="432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„Tak </w:t>
      </w:r>
      <w:proofErr w:type="spellStart"/>
      <w:r>
        <w:rPr>
          <w:i/>
          <w:iCs/>
          <w:sz w:val="18"/>
          <w:szCs w:val="18"/>
        </w:rPr>
        <w:t>Mu</w:t>
      </w:r>
      <w:r w:rsidR="00D8608D">
        <w:rPr>
          <w:i/>
          <w:iCs/>
          <w:sz w:val="18"/>
          <w:szCs w:val="18"/>
        </w:rPr>
        <w:t>ḥ</w:t>
      </w:r>
      <w:r>
        <w:rPr>
          <w:i/>
          <w:iCs/>
          <w:sz w:val="18"/>
          <w:szCs w:val="18"/>
        </w:rPr>
        <w:t>sin</w:t>
      </w:r>
      <w:proofErr w:type="spellEnd"/>
      <w:r>
        <w:rPr>
          <w:i/>
          <w:iCs/>
          <w:sz w:val="18"/>
          <w:szCs w:val="18"/>
        </w:rPr>
        <w:t xml:space="preserve"> pochopil to, co mu vyprávěl onen beduín. Tehdy se obrátil na </w:t>
      </w:r>
      <w:proofErr w:type="spellStart"/>
      <w:r w:rsidR="00D8608D">
        <w:rPr>
          <w:i/>
          <w:iCs/>
          <w:sz w:val="18"/>
          <w:szCs w:val="18"/>
        </w:rPr>
        <w:t>ʻ</w:t>
      </w:r>
      <w:r>
        <w:rPr>
          <w:i/>
          <w:iCs/>
          <w:sz w:val="18"/>
          <w:szCs w:val="18"/>
        </w:rPr>
        <w:t>Abd</w:t>
      </w:r>
      <w:proofErr w:type="spellEnd"/>
      <w:r>
        <w:rPr>
          <w:i/>
          <w:iCs/>
          <w:sz w:val="18"/>
          <w:szCs w:val="18"/>
        </w:rPr>
        <w:t xml:space="preserve"> al-</w:t>
      </w:r>
      <w:proofErr w:type="spellStart"/>
      <w:r w:rsidR="00D8608D">
        <w:rPr>
          <w:i/>
          <w:iCs/>
          <w:sz w:val="18"/>
          <w:szCs w:val="18"/>
        </w:rPr>
        <w:t>ʻ</w:t>
      </w:r>
      <w:r>
        <w:rPr>
          <w:i/>
          <w:iCs/>
          <w:sz w:val="18"/>
          <w:szCs w:val="18"/>
        </w:rPr>
        <w:t>Ā</w:t>
      </w:r>
      <w:r w:rsidR="00D8608D">
        <w:rPr>
          <w:i/>
          <w:iCs/>
          <w:sz w:val="18"/>
          <w:szCs w:val="18"/>
        </w:rPr>
        <w:t>ṭ</w:t>
      </w:r>
      <w:r>
        <w:rPr>
          <w:i/>
          <w:iCs/>
          <w:sz w:val="18"/>
          <w:szCs w:val="18"/>
        </w:rPr>
        <w:t>īho</w:t>
      </w:r>
      <w:proofErr w:type="spellEnd"/>
      <w:r>
        <w:rPr>
          <w:i/>
          <w:iCs/>
          <w:sz w:val="18"/>
          <w:szCs w:val="18"/>
        </w:rPr>
        <w:t>.</w:t>
      </w:r>
    </w:p>
    <w:p w14:paraId="09AD9C6B" w14:textId="77DCAFFA" w:rsidR="002D386E" w:rsidRDefault="002D386E" w:rsidP="00D8608D">
      <w:pPr>
        <w:spacing w:line="360" w:lineRule="auto"/>
        <w:ind w:firstLine="432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,Takže beduín je lepší než </w:t>
      </w:r>
      <w:proofErr w:type="spellStart"/>
      <w:r>
        <w:rPr>
          <w:i/>
          <w:iCs/>
          <w:sz w:val="18"/>
          <w:szCs w:val="18"/>
        </w:rPr>
        <w:t>fallā</w:t>
      </w:r>
      <w:r w:rsidR="00D8608D">
        <w:rPr>
          <w:i/>
          <w:iCs/>
          <w:sz w:val="18"/>
          <w:szCs w:val="18"/>
        </w:rPr>
        <w:t>ḥ</w:t>
      </w:r>
      <w:proofErr w:type="spellEnd"/>
      <w:r>
        <w:rPr>
          <w:i/>
          <w:iCs/>
          <w:sz w:val="18"/>
          <w:szCs w:val="18"/>
        </w:rPr>
        <w:t>?‘</w:t>
      </w:r>
    </w:p>
    <w:p w14:paraId="64567ADA" w14:textId="77777777" w:rsidR="002D386E" w:rsidRDefault="002D386E" w:rsidP="00D8608D">
      <w:pPr>
        <w:spacing w:line="360" w:lineRule="auto"/>
        <w:ind w:firstLine="432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Hlídač se na něj upřeně podíval. Když mu odpovídal, neskrýval svůj údiv nad jeho neznalostí.</w:t>
      </w:r>
    </w:p>
    <w:p w14:paraId="64B3F00F" w14:textId="54A253B3" w:rsidR="002D386E" w:rsidRDefault="002D386E" w:rsidP="00D8608D">
      <w:pPr>
        <w:spacing w:line="360" w:lineRule="auto"/>
        <w:ind w:firstLine="432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,Ale mladý muži, beduín přece nemůže být stejný jako </w:t>
      </w:r>
      <w:proofErr w:type="spellStart"/>
      <w:r w:rsidR="00D8608D">
        <w:rPr>
          <w:i/>
          <w:iCs/>
          <w:sz w:val="18"/>
          <w:szCs w:val="18"/>
        </w:rPr>
        <w:t>fallāḥ</w:t>
      </w:r>
      <w:proofErr w:type="spellEnd"/>
      <w:r>
        <w:rPr>
          <w:i/>
          <w:iCs/>
          <w:sz w:val="18"/>
          <w:szCs w:val="18"/>
        </w:rPr>
        <w:t>!‘</w:t>
      </w:r>
    </w:p>
    <w:p w14:paraId="660D5ABF" w14:textId="77777777" w:rsidR="002D386E" w:rsidRDefault="002D386E" w:rsidP="00D8608D">
      <w:pPr>
        <w:spacing w:line="360" w:lineRule="auto"/>
        <w:ind w:firstLine="432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,Tak jaký je mezi nimi rozdíl?‘</w:t>
      </w:r>
    </w:p>
    <w:p w14:paraId="295F2F6C" w14:textId="77777777" w:rsidR="002D386E" w:rsidRDefault="002D386E" w:rsidP="00D8608D">
      <w:pPr>
        <w:spacing w:line="360" w:lineRule="auto"/>
        <w:ind w:firstLine="432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,Milý pane … , příteli, beduín je věrný svým kořenům.‘</w:t>
      </w:r>
    </w:p>
    <w:p w14:paraId="43AB1A80" w14:textId="68646CC4" w:rsidR="002D386E" w:rsidRDefault="002D386E" w:rsidP="00D8608D">
      <w:pPr>
        <w:spacing w:line="360" w:lineRule="auto"/>
        <w:ind w:firstLine="432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,A </w:t>
      </w:r>
      <w:proofErr w:type="spellStart"/>
      <w:r>
        <w:rPr>
          <w:i/>
          <w:iCs/>
          <w:sz w:val="18"/>
          <w:szCs w:val="18"/>
        </w:rPr>
        <w:t>f</w:t>
      </w:r>
      <w:r w:rsidR="00D8608D">
        <w:rPr>
          <w:i/>
          <w:iCs/>
          <w:sz w:val="18"/>
          <w:szCs w:val="18"/>
        </w:rPr>
        <w:t>allāḥ</w:t>
      </w:r>
      <w:proofErr w:type="spellEnd"/>
      <w:r>
        <w:rPr>
          <w:i/>
          <w:iCs/>
          <w:sz w:val="18"/>
          <w:szCs w:val="18"/>
        </w:rPr>
        <w:t>, ten není???‘</w:t>
      </w:r>
    </w:p>
    <w:p w14:paraId="1624794B" w14:textId="1FE94B05" w:rsidR="002D386E" w:rsidRDefault="002D386E" w:rsidP="00D8608D">
      <w:pPr>
        <w:spacing w:line="360" w:lineRule="auto"/>
        <w:ind w:firstLine="432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,</w:t>
      </w:r>
      <w:r w:rsidR="00D8608D" w:rsidRPr="00D8608D">
        <w:rPr>
          <w:i/>
          <w:iCs/>
          <w:sz w:val="18"/>
          <w:szCs w:val="18"/>
        </w:rPr>
        <w:t xml:space="preserve"> </w:t>
      </w:r>
      <w:proofErr w:type="spellStart"/>
      <w:r w:rsidR="00D8608D">
        <w:rPr>
          <w:i/>
          <w:iCs/>
          <w:sz w:val="18"/>
          <w:szCs w:val="18"/>
        </w:rPr>
        <w:t>F</w:t>
      </w:r>
      <w:r w:rsidR="00D8608D">
        <w:rPr>
          <w:i/>
          <w:iCs/>
          <w:sz w:val="18"/>
          <w:szCs w:val="18"/>
        </w:rPr>
        <w:t>allāḥ</w:t>
      </w:r>
      <w:proofErr w:type="spellEnd"/>
      <w:r>
        <w:rPr>
          <w:i/>
          <w:iCs/>
          <w:sz w:val="18"/>
          <w:szCs w:val="18"/>
        </w:rPr>
        <w:t xml:space="preserve"> je po staletí nevolníkem. Zatímco my beduíni bychom nesnesli žádný útisk!‘</w:t>
      </w:r>
    </w:p>
    <w:p w14:paraId="104DEF17" w14:textId="46412715" w:rsidR="002D386E" w:rsidRDefault="002D386E" w:rsidP="00D8608D">
      <w:pPr>
        <w:spacing w:line="360" w:lineRule="auto"/>
        <w:ind w:firstLine="432"/>
        <w:jc w:val="both"/>
        <w:rPr>
          <w:i/>
          <w:iCs/>
          <w:sz w:val="18"/>
          <w:szCs w:val="18"/>
        </w:rPr>
      </w:pPr>
      <w:proofErr w:type="spellStart"/>
      <w:r>
        <w:rPr>
          <w:i/>
          <w:iCs/>
          <w:sz w:val="18"/>
          <w:szCs w:val="18"/>
        </w:rPr>
        <w:t>Mu</w:t>
      </w:r>
      <w:r w:rsidR="00D8608D">
        <w:rPr>
          <w:i/>
          <w:iCs/>
          <w:sz w:val="18"/>
          <w:szCs w:val="18"/>
        </w:rPr>
        <w:t>ḥ</w:t>
      </w:r>
      <w:r>
        <w:rPr>
          <w:i/>
          <w:iCs/>
          <w:sz w:val="18"/>
          <w:szCs w:val="18"/>
        </w:rPr>
        <w:t>sin</w:t>
      </w:r>
      <w:proofErr w:type="spellEnd"/>
      <w:r>
        <w:rPr>
          <w:i/>
          <w:iCs/>
          <w:sz w:val="18"/>
          <w:szCs w:val="18"/>
        </w:rPr>
        <w:t xml:space="preserve"> opustil </w:t>
      </w:r>
      <w:proofErr w:type="spellStart"/>
      <w:r w:rsidR="00D8608D">
        <w:rPr>
          <w:i/>
          <w:iCs/>
          <w:sz w:val="18"/>
          <w:szCs w:val="18"/>
        </w:rPr>
        <w:t>ʻAbd</w:t>
      </w:r>
      <w:proofErr w:type="spellEnd"/>
      <w:r w:rsidR="00D8608D">
        <w:rPr>
          <w:i/>
          <w:iCs/>
          <w:sz w:val="18"/>
          <w:szCs w:val="18"/>
        </w:rPr>
        <w:t xml:space="preserve"> al-</w:t>
      </w:r>
      <w:proofErr w:type="spellStart"/>
      <w:r w:rsidR="00D8608D">
        <w:rPr>
          <w:i/>
          <w:iCs/>
          <w:sz w:val="18"/>
          <w:szCs w:val="18"/>
        </w:rPr>
        <w:t>ʻĀṭīho</w:t>
      </w:r>
      <w:proofErr w:type="spellEnd"/>
      <w:r>
        <w:rPr>
          <w:i/>
          <w:iCs/>
          <w:sz w:val="18"/>
          <w:szCs w:val="18"/>
        </w:rPr>
        <w:t xml:space="preserve"> a sám začal přemýšlet o tom, co od něho slyšel. Vzpomněl si na učitele staroegyptské historie, který říkal, že současný egyptský </w:t>
      </w:r>
      <w:proofErr w:type="spellStart"/>
      <w:r w:rsidR="00D8608D">
        <w:rPr>
          <w:i/>
          <w:iCs/>
          <w:sz w:val="18"/>
          <w:szCs w:val="18"/>
        </w:rPr>
        <w:t>fallāḥ</w:t>
      </w:r>
      <w:proofErr w:type="spellEnd"/>
      <w:r>
        <w:rPr>
          <w:i/>
          <w:iCs/>
          <w:sz w:val="18"/>
          <w:szCs w:val="18"/>
        </w:rPr>
        <w:t xml:space="preserve"> není nikdo jiný, než </w:t>
      </w:r>
      <w:proofErr w:type="spellStart"/>
      <w:r w:rsidR="00D8608D">
        <w:rPr>
          <w:i/>
          <w:iCs/>
          <w:sz w:val="18"/>
          <w:szCs w:val="18"/>
        </w:rPr>
        <w:t>fallāḥ</w:t>
      </w:r>
      <w:proofErr w:type="spellEnd"/>
      <w:r>
        <w:rPr>
          <w:i/>
          <w:iCs/>
          <w:sz w:val="18"/>
          <w:szCs w:val="18"/>
        </w:rPr>
        <w:t xml:space="preserve">, který žil v době faraónského Egypta. Obdělával stejnou půdu a pěstoval stejné plodiny mnohem dříve, než se objevili první beduíni. </w:t>
      </w:r>
      <w:proofErr w:type="spellStart"/>
      <w:r w:rsidR="00D8608D">
        <w:rPr>
          <w:i/>
          <w:iCs/>
          <w:sz w:val="18"/>
          <w:szCs w:val="18"/>
        </w:rPr>
        <w:t>F</w:t>
      </w:r>
      <w:r w:rsidR="00D8608D">
        <w:rPr>
          <w:i/>
          <w:iCs/>
          <w:sz w:val="18"/>
          <w:szCs w:val="18"/>
        </w:rPr>
        <w:t>allāḥ</w:t>
      </w:r>
      <w:proofErr w:type="spellEnd"/>
      <w:r>
        <w:rPr>
          <w:i/>
          <w:iCs/>
          <w:sz w:val="18"/>
          <w:szCs w:val="18"/>
        </w:rPr>
        <w:t xml:space="preserve"> byl svědkem různých historických epoch a zažil mnoho národů. Daleko od měst, v bezpečí, které jim poskytovalo venkovské prostředí, nalézali ochranu a útočiště před politickými zvraty a sociálními nepokoji, jimiž byla zmítána centra moci. Ve městech se střídali různí lidé a národy se mísily mezi sebou. Ale </w:t>
      </w:r>
      <w:proofErr w:type="spellStart"/>
      <w:r w:rsidR="00D8608D">
        <w:rPr>
          <w:i/>
          <w:iCs/>
          <w:sz w:val="18"/>
          <w:szCs w:val="18"/>
        </w:rPr>
        <w:t>fallāḥ</w:t>
      </w:r>
      <w:proofErr w:type="spellEnd"/>
      <w:r>
        <w:rPr>
          <w:i/>
          <w:iCs/>
          <w:sz w:val="18"/>
          <w:szCs w:val="18"/>
        </w:rPr>
        <w:t xml:space="preserve"> se za celou dlouhou dobu plnou převratných změn nemohl změnit. Lze tedy tohoto </w:t>
      </w:r>
      <w:proofErr w:type="spellStart"/>
      <w:r w:rsidR="00D8608D">
        <w:rPr>
          <w:i/>
          <w:iCs/>
          <w:sz w:val="18"/>
          <w:szCs w:val="18"/>
        </w:rPr>
        <w:t>fallāḥ</w:t>
      </w:r>
      <w:r w:rsidR="00D8608D">
        <w:rPr>
          <w:i/>
          <w:iCs/>
          <w:sz w:val="18"/>
          <w:szCs w:val="18"/>
        </w:rPr>
        <w:t>a</w:t>
      </w:r>
      <w:proofErr w:type="spellEnd"/>
      <w:r>
        <w:rPr>
          <w:i/>
          <w:iCs/>
          <w:sz w:val="18"/>
          <w:szCs w:val="18"/>
        </w:rPr>
        <w:t xml:space="preserve"> obviňovat z toho, že mu chybí původ, když je tím nejoddanějším člověkem srostlým se svou rodnou zemí? Je to pouze </w:t>
      </w:r>
      <w:proofErr w:type="spellStart"/>
      <w:r w:rsidR="00D8608D">
        <w:rPr>
          <w:i/>
          <w:iCs/>
          <w:sz w:val="18"/>
          <w:szCs w:val="18"/>
        </w:rPr>
        <w:t>fallāḥ</w:t>
      </w:r>
      <w:r>
        <w:rPr>
          <w:i/>
          <w:iCs/>
          <w:sz w:val="18"/>
          <w:szCs w:val="18"/>
        </w:rPr>
        <w:t>ova</w:t>
      </w:r>
      <w:proofErr w:type="spellEnd"/>
      <w:r>
        <w:rPr>
          <w:i/>
          <w:iCs/>
          <w:sz w:val="18"/>
          <w:szCs w:val="18"/>
        </w:rPr>
        <w:t xml:space="preserve"> chyba; on si totiž vůbec neuvědomuje hloubku svých kořenů, zatímco beduín dědí to, co nazývá původem, od svých předků, podobně jako kmen od jiného kmene. Cožpak nejsou</w:t>
      </w:r>
      <w:r w:rsidR="00D8608D" w:rsidRPr="00D8608D">
        <w:rPr>
          <w:i/>
          <w:iCs/>
          <w:sz w:val="18"/>
          <w:szCs w:val="18"/>
        </w:rPr>
        <w:t xml:space="preserve"> </w:t>
      </w:r>
      <w:proofErr w:type="spellStart"/>
      <w:r w:rsidR="00D8608D">
        <w:rPr>
          <w:i/>
          <w:iCs/>
          <w:sz w:val="18"/>
          <w:szCs w:val="18"/>
        </w:rPr>
        <w:t>fallāḥ</w:t>
      </w:r>
      <w:r>
        <w:rPr>
          <w:i/>
          <w:iCs/>
          <w:sz w:val="18"/>
          <w:szCs w:val="18"/>
        </w:rPr>
        <w:t>ovy</w:t>
      </w:r>
      <w:proofErr w:type="spellEnd"/>
      <w:r>
        <w:rPr>
          <w:i/>
          <w:iCs/>
          <w:sz w:val="18"/>
          <w:szCs w:val="18"/>
        </w:rPr>
        <w:t xml:space="preserve"> vlastnosti – dobrosrdečnost, klid, laskavost a mírumilovnost – dokladem kulturní vyspělosti, jíž je charakterizován jeho starobylý původ? Beduín dosud neopustil divoký nespoutaný způsob života, vyhledává souboje a krevní mstu, což jsou pozůstatky primitivní nomádské společnosti. Výboje, přepadávání kmenů a loupení je základem každodenní činnosti beduínů! </w:t>
      </w:r>
      <w:proofErr w:type="spellStart"/>
      <w:r w:rsidR="00D8608D">
        <w:rPr>
          <w:i/>
          <w:iCs/>
          <w:sz w:val="18"/>
          <w:szCs w:val="18"/>
        </w:rPr>
        <w:t>F</w:t>
      </w:r>
      <w:r w:rsidR="00D8608D">
        <w:rPr>
          <w:i/>
          <w:iCs/>
          <w:sz w:val="18"/>
          <w:szCs w:val="18"/>
        </w:rPr>
        <w:t>allāḥ</w:t>
      </w:r>
      <w:proofErr w:type="spellEnd"/>
      <w:r>
        <w:rPr>
          <w:i/>
          <w:iCs/>
          <w:sz w:val="18"/>
          <w:szCs w:val="18"/>
        </w:rPr>
        <w:t xml:space="preserve"> se také nedokáže bránit. Domnívá se, že jeho dobrosrdečnost a mírumilovnost nejsou ničím jiným, než dědictvím velmi staré zemědělské civilizace. Život </w:t>
      </w:r>
      <w:proofErr w:type="spellStart"/>
      <w:r w:rsidR="00D8608D">
        <w:rPr>
          <w:i/>
          <w:iCs/>
          <w:sz w:val="18"/>
          <w:szCs w:val="18"/>
        </w:rPr>
        <w:t>fallāḥ</w:t>
      </w:r>
      <w:r>
        <w:rPr>
          <w:i/>
          <w:iCs/>
          <w:sz w:val="18"/>
          <w:szCs w:val="18"/>
        </w:rPr>
        <w:t>a</w:t>
      </w:r>
      <w:proofErr w:type="spellEnd"/>
      <w:r>
        <w:rPr>
          <w:i/>
          <w:iCs/>
          <w:sz w:val="18"/>
          <w:szCs w:val="18"/>
        </w:rPr>
        <w:t xml:space="preserve"> je závislý na klidu a míru, na takových podmínkách, v nichž nemá místo krutost a násilí … </w:t>
      </w:r>
      <w:proofErr w:type="spellStart"/>
      <w:r w:rsidR="00D8608D">
        <w:rPr>
          <w:i/>
          <w:iCs/>
          <w:sz w:val="18"/>
          <w:szCs w:val="18"/>
        </w:rPr>
        <w:t>fallāḥ</w:t>
      </w:r>
      <w:proofErr w:type="spellEnd"/>
      <w:r>
        <w:rPr>
          <w:i/>
          <w:iCs/>
          <w:sz w:val="18"/>
          <w:szCs w:val="18"/>
        </w:rPr>
        <w:t xml:space="preserve"> je součástí civilizovaného světa, nedokáže žít v horách jako zvěř, jeho vnitřní klid a vyrovnanost jsou důsledkem kulturní úrovně jeho předků, nikoli </w:t>
      </w:r>
      <w:proofErr w:type="spellStart"/>
      <w:r>
        <w:rPr>
          <w:i/>
          <w:iCs/>
          <w:sz w:val="18"/>
          <w:szCs w:val="18"/>
        </w:rPr>
        <w:t>poroby</w:t>
      </w:r>
      <w:proofErr w:type="spellEnd"/>
      <w:r>
        <w:rPr>
          <w:i/>
          <w:iCs/>
          <w:sz w:val="18"/>
          <w:szCs w:val="18"/>
        </w:rPr>
        <w:t xml:space="preserve"> a útisku, jemuž je vystaven nesvobodný člověk.</w:t>
      </w:r>
    </w:p>
    <w:p w14:paraId="18DA0BB7" w14:textId="4A402C34" w:rsidR="002D386E" w:rsidRDefault="002D386E" w:rsidP="00D8608D">
      <w:pPr>
        <w:spacing w:line="360" w:lineRule="auto"/>
        <w:ind w:firstLine="432"/>
        <w:jc w:val="both"/>
        <w:rPr>
          <w:i/>
          <w:iCs/>
          <w:sz w:val="18"/>
          <w:szCs w:val="18"/>
        </w:rPr>
      </w:pPr>
      <w:proofErr w:type="spellStart"/>
      <w:r>
        <w:rPr>
          <w:i/>
          <w:iCs/>
          <w:sz w:val="18"/>
          <w:szCs w:val="18"/>
        </w:rPr>
        <w:t>Mu</w:t>
      </w:r>
      <w:r w:rsidR="00D8608D">
        <w:rPr>
          <w:i/>
          <w:iCs/>
          <w:sz w:val="18"/>
          <w:szCs w:val="18"/>
        </w:rPr>
        <w:t>ḥ</w:t>
      </w:r>
      <w:r>
        <w:rPr>
          <w:i/>
          <w:iCs/>
          <w:sz w:val="18"/>
          <w:szCs w:val="18"/>
        </w:rPr>
        <w:t>sin</w:t>
      </w:r>
      <w:proofErr w:type="spellEnd"/>
      <w:r>
        <w:rPr>
          <w:i/>
          <w:iCs/>
          <w:sz w:val="18"/>
          <w:szCs w:val="18"/>
        </w:rPr>
        <w:t xml:space="preserve"> se odebral za šejchem </w:t>
      </w:r>
      <w:proofErr w:type="spellStart"/>
      <w:r w:rsidR="00D8608D">
        <w:rPr>
          <w:i/>
          <w:iCs/>
          <w:sz w:val="18"/>
          <w:szCs w:val="18"/>
        </w:rPr>
        <w:t>Ḥ</w:t>
      </w:r>
      <w:r>
        <w:rPr>
          <w:i/>
          <w:iCs/>
          <w:sz w:val="18"/>
          <w:szCs w:val="18"/>
        </w:rPr>
        <w:t>asanem</w:t>
      </w:r>
      <w:proofErr w:type="spellEnd"/>
      <w:r>
        <w:rPr>
          <w:i/>
          <w:iCs/>
          <w:sz w:val="18"/>
          <w:szCs w:val="18"/>
        </w:rPr>
        <w:t>. Sedl si vedle něj na lavičku. Chvíli si ho prohlížel, zaujal ho jeho dlouhý bílý vous.</w:t>
      </w:r>
    </w:p>
    <w:p w14:paraId="00003477" w14:textId="1C282879" w:rsidR="002D386E" w:rsidRDefault="002D386E" w:rsidP="00D8608D">
      <w:pPr>
        <w:spacing w:line="360" w:lineRule="auto"/>
        <w:ind w:firstLine="432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,Strýčku </w:t>
      </w:r>
      <w:proofErr w:type="spellStart"/>
      <w:r w:rsidR="00D8608D">
        <w:rPr>
          <w:i/>
          <w:iCs/>
          <w:sz w:val="18"/>
          <w:szCs w:val="18"/>
        </w:rPr>
        <w:t>Ḥ</w:t>
      </w:r>
      <w:r>
        <w:rPr>
          <w:i/>
          <w:iCs/>
          <w:sz w:val="18"/>
          <w:szCs w:val="18"/>
        </w:rPr>
        <w:t>asane</w:t>
      </w:r>
      <w:proofErr w:type="spellEnd"/>
      <w:r>
        <w:rPr>
          <w:i/>
          <w:iCs/>
          <w:sz w:val="18"/>
          <w:szCs w:val="18"/>
        </w:rPr>
        <w:t xml:space="preserve">, je lepší beduín nebo </w:t>
      </w:r>
      <w:proofErr w:type="spellStart"/>
      <w:r w:rsidR="00D8608D">
        <w:rPr>
          <w:i/>
          <w:iCs/>
          <w:sz w:val="18"/>
          <w:szCs w:val="18"/>
        </w:rPr>
        <w:t>fallāḥ</w:t>
      </w:r>
      <w:proofErr w:type="spellEnd"/>
      <w:r>
        <w:rPr>
          <w:i/>
          <w:iCs/>
          <w:sz w:val="18"/>
          <w:szCs w:val="18"/>
        </w:rPr>
        <w:t>?‘</w:t>
      </w:r>
    </w:p>
    <w:p w14:paraId="22E96990" w14:textId="60727DBC" w:rsidR="002D386E" w:rsidRDefault="002D386E" w:rsidP="00D8608D">
      <w:pPr>
        <w:spacing w:line="360" w:lineRule="auto"/>
        <w:ind w:firstLine="432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Šejch </w:t>
      </w:r>
      <w:proofErr w:type="spellStart"/>
      <w:r w:rsidR="00D8608D">
        <w:rPr>
          <w:i/>
          <w:iCs/>
          <w:sz w:val="18"/>
          <w:szCs w:val="18"/>
        </w:rPr>
        <w:t>Ḥ</w:t>
      </w:r>
      <w:r>
        <w:rPr>
          <w:i/>
          <w:iCs/>
          <w:sz w:val="18"/>
          <w:szCs w:val="18"/>
        </w:rPr>
        <w:t>asan</w:t>
      </w:r>
      <w:proofErr w:type="spellEnd"/>
      <w:r>
        <w:rPr>
          <w:i/>
          <w:iCs/>
          <w:sz w:val="18"/>
          <w:szCs w:val="18"/>
        </w:rPr>
        <w:t xml:space="preserve"> se k němu otočil, počítal kuličky růžence a přitom se rozpovídal.</w:t>
      </w:r>
    </w:p>
    <w:p w14:paraId="6F8372DB" w14:textId="77777777" w:rsidR="002D386E" w:rsidRDefault="002D386E" w:rsidP="00D8608D">
      <w:pPr>
        <w:spacing w:line="360" w:lineRule="auto"/>
        <w:ind w:firstLine="432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,Vážený pane, před beduíny si nemůže být nikdo jist, ledacos seberou, aby to mohli prodat. Nic jim není svaté, chybí jim víra. Neznají slitování a islám je jim cizí.‘</w:t>
      </w:r>
    </w:p>
    <w:p w14:paraId="20DA365E" w14:textId="77777777" w:rsidR="002D386E" w:rsidRDefault="002D386E" w:rsidP="00D8608D">
      <w:pPr>
        <w:spacing w:line="360" w:lineRule="auto"/>
        <w:ind w:firstLine="432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,Jak je to možné?‘</w:t>
      </w:r>
    </w:p>
    <w:p w14:paraId="6E6482E5" w14:textId="15800F25" w:rsidR="002D386E" w:rsidRDefault="002D386E" w:rsidP="00D8608D">
      <w:pPr>
        <w:spacing w:line="360" w:lineRule="auto"/>
        <w:ind w:firstLine="432"/>
        <w:jc w:val="both"/>
        <w:rPr>
          <w:sz w:val="18"/>
          <w:szCs w:val="18"/>
        </w:rPr>
      </w:pPr>
      <w:r>
        <w:rPr>
          <w:i/>
          <w:iCs/>
          <w:sz w:val="18"/>
          <w:szCs w:val="18"/>
        </w:rPr>
        <w:t>,</w:t>
      </w:r>
      <w:proofErr w:type="spellStart"/>
      <w:r w:rsidR="00D8608D">
        <w:rPr>
          <w:i/>
          <w:iCs/>
          <w:sz w:val="18"/>
          <w:szCs w:val="18"/>
        </w:rPr>
        <w:t>F</w:t>
      </w:r>
      <w:r w:rsidR="00D8608D">
        <w:rPr>
          <w:i/>
          <w:iCs/>
          <w:sz w:val="18"/>
          <w:szCs w:val="18"/>
        </w:rPr>
        <w:t>allāḥ</w:t>
      </w:r>
      <w:r>
        <w:rPr>
          <w:i/>
          <w:iCs/>
          <w:sz w:val="18"/>
          <w:szCs w:val="18"/>
        </w:rPr>
        <w:t>ovo</w:t>
      </w:r>
      <w:proofErr w:type="spellEnd"/>
      <w:r>
        <w:rPr>
          <w:i/>
          <w:iCs/>
          <w:sz w:val="18"/>
          <w:szCs w:val="18"/>
        </w:rPr>
        <w:t xml:space="preserve"> dobrodiní a štědrost neznají mezí. Pomáhá beduínům, k nimž se chová tak, jako by byli jeho vlastní rodinou. Ale oni  jednají s ním přezíravě, cítí se nadřazeně, jako by jim ani v těle nekolovala stejná krev.‘“</w:t>
      </w:r>
      <w:r>
        <w:rPr>
          <w:sz w:val="18"/>
          <w:szCs w:val="18"/>
        </w:rPr>
        <w:t xml:space="preserve"> </w:t>
      </w:r>
      <w:r>
        <w:rPr>
          <w:rStyle w:val="Znakapoznpodarou"/>
          <w:sz w:val="18"/>
          <w:szCs w:val="18"/>
        </w:rPr>
        <w:footnoteReference w:id="1"/>
      </w:r>
    </w:p>
    <w:p w14:paraId="62F2F68F" w14:textId="77777777" w:rsidR="004D479E" w:rsidRDefault="004D479E" w:rsidP="00D8608D">
      <w:pPr>
        <w:spacing w:line="360" w:lineRule="auto"/>
      </w:pPr>
    </w:p>
    <w:sectPr w:rsidR="004D47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494F25" w14:textId="77777777" w:rsidR="00EC6D0D" w:rsidRDefault="00EC6D0D" w:rsidP="002D386E">
      <w:r>
        <w:separator/>
      </w:r>
    </w:p>
  </w:endnote>
  <w:endnote w:type="continuationSeparator" w:id="0">
    <w:p w14:paraId="38FD6980" w14:textId="77777777" w:rsidR="00EC6D0D" w:rsidRDefault="00EC6D0D" w:rsidP="002D3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FC8976" w14:textId="77777777" w:rsidR="00EC6D0D" w:rsidRDefault="00EC6D0D" w:rsidP="002D386E">
      <w:r>
        <w:separator/>
      </w:r>
    </w:p>
  </w:footnote>
  <w:footnote w:type="continuationSeparator" w:id="0">
    <w:p w14:paraId="7203D198" w14:textId="77777777" w:rsidR="00EC6D0D" w:rsidRDefault="00EC6D0D" w:rsidP="002D386E">
      <w:r>
        <w:continuationSeparator/>
      </w:r>
    </w:p>
  </w:footnote>
  <w:footnote w:id="1">
    <w:p w14:paraId="20FE87B9" w14:textId="2DC99954" w:rsidR="002D386E" w:rsidRDefault="002D386E" w:rsidP="002D386E">
      <w:pPr>
        <w:pStyle w:val="Textpoznpodarou"/>
        <w:rPr>
          <w:sz w:val="15"/>
          <w:szCs w:val="15"/>
        </w:rPr>
      </w:pPr>
      <w:r>
        <w:rPr>
          <w:rStyle w:val="Znakapoznpodarou"/>
          <w:sz w:val="15"/>
          <w:szCs w:val="15"/>
        </w:rPr>
        <w:footnoteRef/>
      </w:r>
      <w:r>
        <w:rPr>
          <w:sz w:val="15"/>
          <w:szCs w:val="15"/>
        </w:rPr>
        <w:t xml:space="preserve"> </w:t>
      </w:r>
      <w:proofErr w:type="spellStart"/>
      <w:r w:rsidR="003A4ADC">
        <w:rPr>
          <w:i/>
          <w:iCs/>
          <w:sz w:val="15"/>
          <w:szCs w:val="15"/>
        </w:rPr>
        <w:t>ʻ</w:t>
      </w:r>
      <w:r>
        <w:rPr>
          <w:i/>
          <w:iCs/>
          <w:sz w:val="15"/>
          <w:szCs w:val="15"/>
        </w:rPr>
        <w:t>Audat</w:t>
      </w:r>
      <w:proofErr w:type="spellEnd"/>
      <w:r>
        <w:rPr>
          <w:i/>
          <w:iCs/>
          <w:sz w:val="15"/>
          <w:szCs w:val="15"/>
        </w:rPr>
        <w:t xml:space="preserve"> ar-</w:t>
      </w:r>
      <w:proofErr w:type="spellStart"/>
      <w:r>
        <w:rPr>
          <w:i/>
          <w:iCs/>
          <w:sz w:val="15"/>
          <w:szCs w:val="15"/>
        </w:rPr>
        <w:t>rū</w:t>
      </w:r>
      <w:r w:rsidR="003A4ADC">
        <w:rPr>
          <w:i/>
          <w:iCs/>
          <w:sz w:val="15"/>
          <w:szCs w:val="15"/>
        </w:rPr>
        <w:t>ḥ</w:t>
      </w:r>
      <w:proofErr w:type="spellEnd"/>
      <w:r>
        <w:rPr>
          <w:sz w:val="15"/>
          <w:szCs w:val="15"/>
        </w:rPr>
        <w:t>, 2. díl, s. 25 – 27.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86E"/>
    <w:rsid w:val="002D386E"/>
    <w:rsid w:val="003A4ADC"/>
    <w:rsid w:val="004D479E"/>
    <w:rsid w:val="00D8608D"/>
    <w:rsid w:val="00EC6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79E6A"/>
  <w15:chartTrackingRefBased/>
  <w15:docId w15:val="{6FF9FC12-29E8-49CB-8D4F-F87EDF3D5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D38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2D386E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2D386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unhideWhenUsed/>
    <w:rsid w:val="002D386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09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557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Ondráš, František</dc:creator>
  <cp:keywords/>
  <dc:description/>
  <cp:lastModifiedBy>Ondráš, František</cp:lastModifiedBy>
  <cp:revision>2</cp:revision>
  <dcterms:created xsi:type="dcterms:W3CDTF">2021-02-16T01:51:00Z</dcterms:created>
  <dcterms:modified xsi:type="dcterms:W3CDTF">2021-02-16T02:01:00Z</dcterms:modified>
</cp:coreProperties>
</file>