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CDC" w:rsidRPr="00D13331" w:rsidRDefault="00417CDC" w:rsidP="00C3557D">
      <w:pPr>
        <w:rPr>
          <w:rFonts w:ascii="Tahoma" w:hAnsi="Tahoma" w:cs="Tahoma"/>
          <w:b/>
          <w:sz w:val="28"/>
          <w:szCs w:val="28"/>
          <w:u w:val="single"/>
          <w:lang w:val="en-GB"/>
        </w:rPr>
      </w:pPr>
      <w:r w:rsidRPr="00D13331">
        <w:rPr>
          <w:rFonts w:ascii="Tahoma" w:hAnsi="Tahoma" w:cs="Tahoma"/>
          <w:b/>
          <w:sz w:val="28"/>
          <w:szCs w:val="28"/>
          <w:u w:val="single"/>
          <w:lang w:val="en-GB"/>
        </w:rPr>
        <w:t>C</w:t>
      </w:r>
      <w:r>
        <w:rPr>
          <w:rFonts w:ascii="Tahoma" w:hAnsi="Tahoma" w:cs="Tahoma"/>
          <w:b/>
          <w:sz w:val="28"/>
          <w:szCs w:val="28"/>
          <w:u w:val="single"/>
          <w:lang w:val="en-GB"/>
        </w:rPr>
        <w:t xml:space="preserve">ourse syllabus: Canadian Multicultural Literature </w:t>
      </w:r>
    </w:p>
    <w:p w:rsidR="00417CDC" w:rsidRDefault="00417CDC" w:rsidP="00C3557D">
      <w:pPr>
        <w:rPr>
          <w:rFonts w:ascii="Tahoma" w:hAnsi="Tahoma" w:cs="Tahoma"/>
          <w:b/>
          <w:sz w:val="22"/>
          <w:szCs w:val="20"/>
          <w:u w:val="single"/>
          <w:lang w:val="en-GB"/>
        </w:rPr>
      </w:pPr>
    </w:p>
    <w:p w:rsidR="00417CDC" w:rsidRDefault="00417CDC" w:rsidP="00C3557D">
      <w:pPr>
        <w:rPr>
          <w:rFonts w:ascii="Tahoma" w:hAnsi="Tahoma" w:cs="Tahoma"/>
          <w:b/>
          <w:sz w:val="22"/>
          <w:szCs w:val="20"/>
          <w:u w:val="single"/>
          <w:lang w:val="en-GB"/>
        </w:rPr>
      </w:pPr>
      <w:r w:rsidRPr="009D37FE">
        <w:rPr>
          <w:rFonts w:ascii="Tahoma" w:hAnsi="Tahoma" w:cs="Tahoma"/>
          <w:b/>
          <w:sz w:val="22"/>
          <w:szCs w:val="20"/>
          <w:u w:val="single"/>
          <w:lang w:val="en-GB"/>
        </w:rPr>
        <w:t>Course Description:</w:t>
      </w:r>
    </w:p>
    <w:p w:rsidR="00C3557D" w:rsidRDefault="00C3557D" w:rsidP="00C3557D">
      <w:pPr>
        <w:rPr>
          <w:rFonts w:ascii="Tahoma" w:hAnsi="Tahoma" w:cs="Tahoma"/>
          <w:b/>
          <w:sz w:val="22"/>
          <w:szCs w:val="20"/>
          <w:u w:val="single"/>
          <w:lang w:val="en-GB"/>
        </w:rPr>
      </w:pPr>
    </w:p>
    <w:p w:rsidR="00C3557D" w:rsidRPr="00C3557D" w:rsidRDefault="00C3557D" w:rsidP="00C3557D">
      <w:pPr>
        <w:rPr>
          <w:b/>
          <w:u w:val="single"/>
          <w:lang w:val="en-GB"/>
        </w:rPr>
      </w:pPr>
      <w:r w:rsidRPr="00C3557D">
        <w:rPr>
          <w:color w:val="000000"/>
          <w:shd w:val="clear" w:color="auto" w:fill="FFFFFF"/>
        </w:rPr>
        <w:t>The course discusses the concept of Canadian multiculturalism as one of the const</w:t>
      </w:r>
      <w:r>
        <w:rPr>
          <w:color w:val="000000"/>
          <w:shd w:val="clear" w:color="auto" w:fill="FFFFFF"/>
        </w:rPr>
        <w:t>itutive elements of the country’</w:t>
      </w:r>
      <w:r w:rsidRPr="00C3557D">
        <w:rPr>
          <w:color w:val="000000"/>
          <w:shd w:val="clear" w:color="auto" w:fill="FFFFFF"/>
        </w:rPr>
        <w:t>s political, social and cultural character. In each session we will analyze a short theoretical text that contributes to the debate of multiculturalism in an importa</w:t>
      </w:r>
      <w:r>
        <w:rPr>
          <w:color w:val="000000"/>
          <w:shd w:val="clear" w:color="auto" w:fill="FFFFFF"/>
        </w:rPr>
        <w:t xml:space="preserve">nt and pertinent </w:t>
      </w:r>
      <w:r w:rsidRPr="00C3557D">
        <w:rPr>
          <w:color w:val="000000"/>
          <w:shd w:val="clear" w:color="auto" w:fill="FFFFFF"/>
        </w:rPr>
        <w:t>manner.The m</w:t>
      </w:r>
      <w:r>
        <w:rPr>
          <w:color w:val="000000"/>
          <w:shd w:val="clear" w:color="auto" w:fill="FFFFFF"/>
        </w:rPr>
        <w:t xml:space="preserve">ain focus, however, will be on literary texts </w:t>
      </w:r>
      <w:r w:rsidRPr="00C3557D">
        <w:rPr>
          <w:color w:val="000000"/>
          <w:shd w:val="clear" w:color="auto" w:fill="FFFFFF"/>
        </w:rPr>
        <w:t xml:space="preserve"> representative</w:t>
      </w:r>
      <w:r>
        <w:rPr>
          <w:color w:val="000000"/>
          <w:shd w:val="clear" w:color="auto" w:fill="FFFFFF"/>
        </w:rPr>
        <w:t xml:space="preserve"> of the diversity and colourful</w:t>
      </w:r>
      <w:r w:rsidRPr="00C3557D">
        <w:rPr>
          <w:color w:val="000000"/>
          <w:shd w:val="clear" w:color="auto" w:fill="FFFFFF"/>
        </w:rPr>
        <w:t xml:space="preserve">ness of the </w:t>
      </w:r>
      <w:r>
        <w:rPr>
          <w:color w:val="000000"/>
          <w:shd w:val="clear" w:color="auto" w:fill="FFFFFF"/>
        </w:rPr>
        <w:t xml:space="preserve">contemporary </w:t>
      </w:r>
      <w:r w:rsidRPr="00C3557D">
        <w:rPr>
          <w:color w:val="000000"/>
          <w:shd w:val="clear" w:color="auto" w:fill="FFFFFF"/>
        </w:rPr>
        <w:t xml:space="preserve">Canadian literary scene. Examples will include texts by writers of Native Canadian, French Canadian, Jewish, Slavic or </w:t>
      </w:r>
      <w:r>
        <w:rPr>
          <w:color w:val="000000"/>
          <w:shd w:val="clear" w:color="auto" w:fill="FFFFFF"/>
        </w:rPr>
        <w:t>Asian origins</w:t>
      </w:r>
      <w:r w:rsidRPr="00C3557D">
        <w:rPr>
          <w:color w:val="000000"/>
          <w:shd w:val="clear" w:color="auto" w:fill="FFFFFF"/>
        </w:rPr>
        <w:t>.</w:t>
      </w:r>
    </w:p>
    <w:p w:rsidR="00417CDC" w:rsidRDefault="00417CDC" w:rsidP="00C3557D">
      <w:pPr>
        <w:rPr>
          <w:rFonts w:ascii="Tahoma" w:hAnsi="Tahoma" w:cs="Tahoma"/>
          <w:sz w:val="22"/>
          <w:szCs w:val="20"/>
          <w:u w:val="single"/>
          <w:lang w:val="en-GB"/>
        </w:rPr>
      </w:pPr>
    </w:p>
    <w:p w:rsidR="00417CDC" w:rsidRDefault="00417CDC" w:rsidP="00C3557D">
      <w:pPr>
        <w:pStyle w:val="Title"/>
        <w:jc w:val="left"/>
        <w:rPr>
          <w:rFonts w:ascii="Tahoma" w:hAnsi="Tahoma" w:cs="Tahoma"/>
          <w:sz w:val="22"/>
          <w:szCs w:val="22"/>
          <w:lang w:val="en-US"/>
        </w:rPr>
      </w:pPr>
    </w:p>
    <w:p w:rsidR="00417CDC" w:rsidRPr="009D37FE" w:rsidRDefault="00417CDC" w:rsidP="00C3557D">
      <w:pPr>
        <w:pStyle w:val="Title"/>
        <w:jc w:val="left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R</w:t>
      </w:r>
      <w:r w:rsidRPr="009D37FE">
        <w:rPr>
          <w:rFonts w:ascii="Tahoma" w:hAnsi="Tahoma" w:cs="Tahoma"/>
          <w:sz w:val="22"/>
          <w:szCs w:val="22"/>
          <w:lang w:val="en-US"/>
        </w:rPr>
        <w:t>equirements for successful completion of a course:</w:t>
      </w:r>
    </w:p>
    <w:p w:rsidR="00417CDC" w:rsidRDefault="00417CDC" w:rsidP="00C3557D">
      <w:pPr>
        <w:pStyle w:val="Title"/>
        <w:jc w:val="left"/>
        <w:rPr>
          <w:rFonts w:ascii="Tahoma" w:hAnsi="Tahoma" w:cs="Tahoma"/>
          <w:b w:val="0"/>
          <w:bCs/>
          <w:sz w:val="20"/>
          <w:lang w:val="en-GB"/>
        </w:rPr>
      </w:pPr>
    </w:p>
    <w:p w:rsidR="00417CDC" w:rsidRPr="005E6AC5" w:rsidRDefault="00417CDC" w:rsidP="00C3557D">
      <w:pPr>
        <w:pStyle w:val="Title"/>
        <w:jc w:val="left"/>
        <w:rPr>
          <w:b w:val="0"/>
          <w:sz w:val="24"/>
          <w:szCs w:val="24"/>
          <w:u w:val="none"/>
          <w:lang w:val="en-US"/>
        </w:rPr>
      </w:pPr>
      <w:r w:rsidRPr="005E6AC5">
        <w:rPr>
          <w:b w:val="0"/>
          <w:sz w:val="24"/>
          <w:szCs w:val="24"/>
          <w:u w:val="none"/>
          <w:lang w:val="en-US"/>
        </w:rPr>
        <w:t>Regular attendance</w:t>
      </w:r>
    </w:p>
    <w:p w:rsidR="002B16E5" w:rsidRPr="005E6AC5" w:rsidRDefault="002B16E5" w:rsidP="00C3557D">
      <w:pPr>
        <w:pStyle w:val="Title"/>
        <w:jc w:val="left"/>
        <w:rPr>
          <w:b w:val="0"/>
          <w:sz w:val="24"/>
          <w:szCs w:val="24"/>
          <w:u w:val="none"/>
          <w:lang w:val="en-US"/>
        </w:rPr>
      </w:pPr>
    </w:p>
    <w:p w:rsidR="00417CDC" w:rsidRPr="005E6AC5" w:rsidRDefault="00417CDC" w:rsidP="00C3557D">
      <w:pPr>
        <w:pStyle w:val="Title"/>
        <w:jc w:val="left"/>
        <w:rPr>
          <w:b w:val="0"/>
          <w:sz w:val="24"/>
          <w:szCs w:val="24"/>
          <w:u w:val="none"/>
          <w:lang w:val="en-US"/>
        </w:rPr>
      </w:pPr>
      <w:r w:rsidRPr="005E6AC5">
        <w:rPr>
          <w:b w:val="0"/>
          <w:sz w:val="24"/>
          <w:szCs w:val="24"/>
          <w:u w:val="none"/>
          <w:lang w:val="en-US"/>
        </w:rPr>
        <w:t xml:space="preserve">Active class participation </w:t>
      </w:r>
    </w:p>
    <w:p w:rsidR="002B16E5" w:rsidRPr="005E6AC5" w:rsidRDefault="002B16E5" w:rsidP="00C3557D">
      <w:pPr>
        <w:pStyle w:val="Title"/>
        <w:jc w:val="left"/>
        <w:rPr>
          <w:b w:val="0"/>
          <w:sz w:val="24"/>
          <w:szCs w:val="24"/>
          <w:u w:val="none"/>
          <w:lang w:val="en-US"/>
        </w:rPr>
      </w:pPr>
    </w:p>
    <w:p w:rsidR="00417CDC" w:rsidRPr="005E6AC5" w:rsidRDefault="00417CDC" w:rsidP="00C3557D">
      <w:pPr>
        <w:pStyle w:val="Title"/>
        <w:jc w:val="left"/>
        <w:rPr>
          <w:b w:val="0"/>
          <w:sz w:val="24"/>
          <w:szCs w:val="24"/>
          <w:u w:val="none"/>
          <w:lang w:val="en-US"/>
        </w:rPr>
      </w:pPr>
      <w:r w:rsidRPr="005E6AC5">
        <w:rPr>
          <w:b w:val="0"/>
          <w:sz w:val="24"/>
          <w:szCs w:val="24"/>
          <w:u w:val="none"/>
          <w:lang w:val="en-US"/>
        </w:rPr>
        <w:t>Knowledge of the assigned readings, preparation for their analysis in class</w:t>
      </w:r>
    </w:p>
    <w:p w:rsidR="002B16E5" w:rsidRPr="005E6AC5" w:rsidRDefault="002B16E5" w:rsidP="00C3557D">
      <w:pPr>
        <w:pStyle w:val="Title"/>
        <w:jc w:val="left"/>
        <w:rPr>
          <w:b w:val="0"/>
          <w:sz w:val="24"/>
          <w:szCs w:val="24"/>
          <w:u w:val="none"/>
          <w:lang w:val="en-US"/>
        </w:rPr>
      </w:pPr>
    </w:p>
    <w:p w:rsidR="00417CDC" w:rsidRPr="005E6AC5" w:rsidRDefault="00C3557D" w:rsidP="00C3557D">
      <w:pPr>
        <w:pStyle w:val="Title"/>
        <w:jc w:val="left"/>
        <w:rPr>
          <w:b w:val="0"/>
          <w:sz w:val="24"/>
          <w:szCs w:val="24"/>
          <w:u w:val="none"/>
          <w:lang w:val="en-US"/>
        </w:rPr>
      </w:pPr>
      <w:r w:rsidRPr="005E6AC5">
        <w:rPr>
          <w:b w:val="0"/>
          <w:sz w:val="24"/>
          <w:szCs w:val="24"/>
          <w:u w:val="none"/>
          <w:lang w:val="en-US"/>
        </w:rPr>
        <w:t xml:space="preserve">Final research paper - </w:t>
      </w:r>
      <w:r w:rsidRPr="005E6AC5">
        <w:rPr>
          <w:b w:val="0"/>
          <w:bCs/>
          <w:sz w:val="24"/>
          <w:szCs w:val="24"/>
          <w:u w:val="none"/>
          <w:lang w:val="en-US"/>
        </w:rPr>
        <w:t>students will cho</w:t>
      </w:r>
      <w:r w:rsidR="005A2FEB">
        <w:rPr>
          <w:b w:val="0"/>
          <w:bCs/>
          <w:sz w:val="24"/>
          <w:szCs w:val="24"/>
          <w:u w:val="none"/>
          <w:lang w:val="en-US"/>
        </w:rPr>
        <w:t>o</w:t>
      </w:r>
      <w:r w:rsidRPr="005E6AC5">
        <w:rPr>
          <w:b w:val="0"/>
          <w:bCs/>
          <w:sz w:val="24"/>
          <w:szCs w:val="24"/>
          <w:u w:val="none"/>
          <w:lang w:val="en-US"/>
        </w:rPr>
        <w:t>se the topic according to their preferences, work on it independently and submit it during the examination period (when needed, they will discuss their work with the instru</w:t>
      </w:r>
      <w:r w:rsidR="005A2FEB">
        <w:rPr>
          <w:b w:val="0"/>
          <w:bCs/>
          <w:sz w:val="24"/>
          <w:szCs w:val="24"/>
          <w:u w:val="none"/>
          <w:lang w:val="en-US"/>
        </w:rPr>
        <w:t>ctor and seek advice). The paper</w:t>
      </w:r>
      <w:r w:rsidRPr="005E6AC5">
        <w:rPr>
          <w:b w:val="0"/>
          <w:bCs/>
          <w:sz w:val="24"/>
          <w:szCs w:val="24"/>
          <w:u w:val="none"/>
          <w:lang w:val="en-US"/>
        </w:rPr>
        <w:t xml:space="preserve"> can address a</w:t>
      </w:r>
      <w:r w:rsidR="005A2FEB">
        <w:rPr>
          <w:b w:val="0"/>
          <w:bCs/>
          <w:sz w:val="24"/>
          <w:szCs w:val="24"/>
          <w:u w:val="none"/>
          <w:lang w:val="en-US"/>
        </w:rPr>
        <w:t>ny of the subject</w:t>
      </w:r>
      <w:r w:rsidRPr="005E6AC5">
        <w:rPr>
          <w:b w:val="0"/>
          <w:bCs/>
          <w:sz w:val="24"/>
          <w:szCs w:val="24"/>
          <w:u w:val="none"/>
          <w:lang w:val="en-US"/>
        </w:rPr>
        <w:t xml:space="preserve"> </w:t>
      </w:r>
      <w:proofErr w:type="gramStart"/>
      <w:r w:rsidRPr="005E6AC5">
        <w:rPr>
          <w:b w:val="0"/>
          <w:bCs/>
          <w:sz w:val="24"/>
          <w:szCs w:val="24"/>
          <w:u w:val="none"/>
          <w:lang w:val="en-US"/>
        </w:rPr>
        <w:t>areas  as</w:t>
      </w:r>
      <w:proofErr w:type="gramEnd"/>
      <w:r w:rsidRPr="005E6AC5">
        <w:rPr>
          <w:b w:val="0"/>
          <w:bCs/>
          <w:sz w:val="24"/>
          <w:szCs w:val="24"/>
          <w:u w:val="none"/>
          <w:lang w:val="en-US"/>
        </w:rPr>
        <w:t xml:space="preserve"> indicated in the syllabus</w:t>
      </w:r>
      <w:r w:rsidR="005A2FEB">
        <w:rPr>
          <w:b w:val="0"/>
          <w:bCs/>
          <w:sz w:val="24"/>
          <w:szCs w:val="24"/>
          <w:u w:val="none"/>
          <w:lang w:val="en-US"/>
        </w:rPr>
        <w:t>, and demonstrate the argument on any relevant literary text of the author’s choice</w:t>
      </w:r>
      <w:r w:rsidRPr="005E6AC5">
        <w:rPr>
          <w:b w:val="0"/>
          <w:bCs/>
          <w:sz w:val="24"/>
          <w:szCs w:val="24"/>
          <w:u w:val="none"/>
          <w:lang w:val="en-US"/>
        </w:rPr>
        <w:t>. Also, essays should not focus on mere descriptions of the chosen examples, but instead should reflect the problems in context, and actively support their arguments by the use of secondary sources</w:t>
      </w:r>
      <w:r w:rsidR="005E6AC5">
        <w:rPr>
          <w:b w:val="0"/>
          <w:bCs/>
          <w:sz w:val="24"/>
          <w:szCs w:val="24"/>
          <w:u w:val="none"/>
          <w:lang w:val="en-US"/>
        </w:rPr>
        <w:t>.</w:t>
      </w:r>
    </w:p>
    <w:p w:rsidR="00417CDC" w:rsidRDefault="00417CDC" w:rsidP="00C3557D">
      <w:pPr>
        <w:pStyle w:val="Title"/>
        <w:jc w:val="left"/>
        <w:rPr>
          <w:rFonts w:ascii="Tahoma" w:hAnsi="Tahoma" w:cs="Tahoma"/>
          <w:b w:val="0"/>
          <w:bCs/>
          <w:sz w:val="20"/>
          <w:lang w:val="en-GB"/>
        </w:rPr>
      </w:pPr>
    </w:p>
    <w:p w:rsidR="00417CDC" w:rsidRPr="009402BB" w:rsidRDefault="00417CDC" w:rsidP="00C3557D">
      <w:pPr>
        <w:rPr>
          <w:rFonts w:ascii="Tahoma" w:hAnsi="Tahoma" w:cs="Tahoma"/>
          <w:b/>
          <w:bCs/>
          <w:sz w:val="22"/>
          <w:szCs w:val="20"/>
          <w:u w:val="single"/>
          <w:lang w:val="en-GB"/>
        </w:rPr>
      </w:pPr>
    </w:p>
    <w:p w:rsidR="00417CDC" w:rsidRPr="00A62635" w:rsidRDefault="00417CDC" w:rsidP="00C3557D">
      <w:pPr>
        <w:snapToGrid w:val="0"/>
        <w:rPr>
          <w:rFonts w:ascii="Tahoma" w:hAnsi="Tahoma" w:cs="Tahoma"/>
          <w:b/>
          <w:sz w:val="22"/>
          <w:szCs w:val="22"/>
          <w:u w:val="single"/>
          <w:lang w:val="en-US"/>
        </w:rPr>
      </w:pPr>
      <w:r w:rsidRPr="00A62635">
        <w:rPr>
          <w:rFonts w:ascii="Tahoma" w:hAnsi="Tahoma" w:cs="Tahoma"/>
          <w:b/>
          <w:sz w:val="22"/>
          <w:szCs w:val="22"/>
          <w:u w:val="single"/>
          <w:lang w:val="en-US"/>
        </w:rPr>
        <w:t>Syllabus:</w:t>
      </w:r>
    </w:p>
    <w:p w:rsidR="00417CDC" w:rsidRDefault="00417CDC" w:rsidP="00C3557D">
      <w:pPr>
        <w:rPr>
          <w:b/>
          <w:lang w:val="en-US"/>
        </w:rPr>
      </w:pPr>
    </w:p>
    <w:p w:rsidR="00417CDC" w:rsidRDefault="00417CDC" w:rsidP="00C3557D">
      <w:pPr>
        <w:rPr>
          <w:b/>
          <w:lang w:val="en-US"/>
        </w:rPr>
      </w:pPr>
    </w:p>
    <w:p w:rsidR="00417CDC" w:rsidRDefault="00417CDC" w:rsidP="00C3557D">
      <w:pPr>
        <w:rPr>
          <w:b/>
          <w:lang w:val="en-US"/>
        </w:rPr>
      </w:pPr>
      <w:r>
        <w:rPr>
          <w:b/>
          <w:lang w:val="en-US"/>
        </w:rPr>
        <w:t xml:space="preserve">Week 1: </w:t>
      </w:r>
    </w:p>
    <w:p w:rsidR="00417CDC" w:rsidRPr="00D962B7" w:rsidRDefault="002B16E5" w:rsidP="00C3557D">
      <w:pPr>
        <w:rPr>
          <w:lang w:val="en-US"/>
        </w:rPr>
      </w:pPr>
      <w:r>
        <w:rPr>
          <w:lang w:val="en-US"/>
        </w:rPr>
        <w:t xml:space="preserve">Introduction into the themes and objectives of the course, discussion </w:t>
      </w:r>
    </w:p>
    <w:p w:rsidR="00417CDC" w:rsidRDefault="00417CDC" w:rsidP="00C3557D">
      <w:pPr>
        <w:rPr>
          <w:b/>
          <w:lang w:val="en-US"/>
        </w:rPr>
      </w:pPr>
    </w:p>
    <w:p w:rsidR="00417CDC" w:rsidRDefault="00417CDC" w:rsidP="00C3557D">
      <w:pPr>
        <w:rPr>
          <w:b/>
          <w:lang w:val="en-US"/>
        </w:rPr>
      </w:pPr>
    </w:p>
    <w:p w:rsidR="00417CDC" w:rsidRDefault="00417CDC" w:rsidP="00C3557D">
      <w:pPr>
        <w:rPr>
          <w:b/>
          <w:lang w:val="en-US"/>
        </w:rPr>
      </w:pPr>
      <w:r>
        <w:rPr>
          <w:b/>
          <w:lang w:val="en-US"/>
        </w:rPr>
        <w:t>Week 2:</w:t>
      </w:r>
    </w:p>
    <w:p w:rsidR="00417CDC" w:rsidRDefault="002B16E5" w:rsidP="00C3557D">
      <w:pPr>
        <w:rPr>
          <w:lang w:val="en-US"/>
        </w:rPr>
      </w:pPr>
      <w:r w:rsidRPr="002B16E5">
        <w:rPr>
          <w:b/>
          <w:lang w:val="en-US"/>
        </w:rPr>
        <w:t>“</w:t>
      </w:r>
      <w:proofErr w:type="gramStart"/>
      <w:r w:rsidRPr="002B16E5">
        <w:rPr>
          <w:b/>
          <w:lang w:val="en-US"/>
        </w:rPr>
        <w:t>the</w:t>
      </w:r>
      <w:proofErr w:type="gramEnd"/>
      <w:r w:rsidRPr="002B16E5">
        <w:rPr>
          <w:b/>
          <w:lang w:val="en-US"/>
        </w:rPr>
        <w:t xml:space="preserve"> ethnics at our door:”</w:t>
      </w:r>
      <w:r>
        <w:rPr>
          <w:lang w:val="en-US"/>
        </w:rPr>
        <w:t xml:space="preserve"> a tour of contemporary Canadian multicultural poetry</w:t>
      </w:r>
    </w:p>
    <w:p w:rsidR="002B16E5" w:rsidRDefault="002B16E5" w:rsidP="00C3557D">
      <w:pPr>
        <w:rPr>
          <w:lang w:val="en-US"/>
        </w:rPr>
      </w:pPr>
      <w:r>
        <w:rPr>
          <w:lang w:val="en-US"/>
        </w:rPr>
        <w:t xml:space="preserve">(Don </w:t>
      </w:r>
      <w:proofErr w:type="spellStart"/>
      <w:r>
        <w:rPr>
          <w:lang w:val="en-US"/>
        </w:rPr>
        <w:t>Sparling</w:t>
      </w:r>
      <w:proofErr w:type="spellEnd"/>
      <w:r>
        <w:rPr>
          <w:lang w:val="en-US"/>
        </w:rPr>
        <w:t>: “Multiculturalism in Canada”)</w:t>
      </w:r>
    </w:p>
    <w:p w:rsidR="002B16E5" w:rsidRDefault="002B16E5" w:rsidP="00C3557D">
      <w:pPr>
        <w:rPr>
          <w:b/>
          <w:lang w:val="en-US"/>
        </w:rPr>
      </w:pPr>
    </w:p>
    <w:p w:rsidR="00417CDC" w:rsidRDefault="00417CDC" w:rsidP="00C3557D">
      <w:pPr>
        <w:rPr>
          <w:b/>
          <w:lang w:val="en-US"/>
        </w:rPr>
      </w:pPr>
    </w:p>
    <w:p w:rsidR="00417CDC" w:rsidRDefault="00417CDC" w:rsidP="00C3557D">
      <w:pPr>
        <w:rPr>
          <w:b/>
          <w:lang w:val="en-US"/>
        </w:rPr>
      </w:pPr>
      <w:r>
        <w:rPr>
          <w:b/>
          <w:lang w:val="en-US"/>
        </w:rPr>
        <w:t>Week 3:</w:t>
      </w:r>
    </w:p>
    <w:p w:rsidR="002B16E5" w:rsidRDefault="002B16E5" w:rsidP="00C3557D">
      <w:pPr>
        <w:rPr>
          <w:lang w:val="en-US"/>
        </w:rPr>
      </w:pPr>
      <w:r w:rsidRPr="002B16E5">
        <w:rPr>
          <w:b/>
          <w:lang w:val="en-US"/>
        </w:rPr>
        <w:t>“</w:t>
      </w:r>
      <w:proofErr w:type="gramStart"/>
      <w:r w:rsidRPr="002B16E5">
        <w:rPr>
          <w:b/>
          <w:lang w:val="en-US"/>
        </w:rPr>
        <w:t>in</w:t>
      </w:r>
      <w:proofErr w:type="gramEnd"/>
      <w:r w:rsidRPr="002B16E5">
        <w:rPr>
          <w:b/>
          <w:lang w:val="en-US"/>
        </w:rPr>
        <w:t xml:space="preserve"> search of one’s country:”</w:t>
      </w:r>
      <w:r>
        <w:rPr>
          <w:lang w:val="en-US"/>
        </w:rPr>
        <w:t xml:space="preserve"> Frederick Philip Grove and the controversy of immigration</w:t>
      </w:r>
    </w:p>
    <w:p w:rsidR="002B16E5" w:rsidRDefault="002B16E5" w:rsidP="00C3557D">
      <w:pPr>
        <w:rPr>
          <w:lang w:val="en-US"/>
        </w:rPr>
      </w:pPr>
      <w:r>
        <w:rPr>
          <w:lang w:val="en-US"/>
        </w:rPr>
        <w:t>(Howard Palmer: “Mosaic versus Melting Pot? Immigration and Ethnicity in Canada and the United States”)</w:t>
      </w:r>
    </w:p>
    <w:p w:rsidR="002B16E5" w:rsidRDefault="002B16E5" w:rsidP="00C3557D">
      <w:pPr>
        <w:rPr>
          <w:lang w:val="en-US"/>
        </w:rPr>
      </w:pPr>
    </w:p>
    <w:p w:rsidR="002B16E5" w:rsidRDefault="002B16E5" w:rsidP="00C3557D">
      <w:pPr>
        <w:rPr>
          <w:lang w:val="en-US"/>
        </w:rPr>
      </w:pPr>
    </w:p>
    <w:p w:rsidR="00417CDC" w:rsidRDefault="00417CDC" w:rsidP="00C3557D">
      <w:pPr>
        <w:rPr>
          <w:b/>
          <w:lang w:val="en-US"/>
        </w:rPr>
      </w:pPr>
      <w:r>
        <w:rPr>
          <w:b/>
          <w:lang w:val="en-US"/>
        </w:rPr>
        <w:t>Week 4:</w:t>
      </w:r>
    </w:p>
    <w:p w:rsidR="002B16E5" w:rsidRDefault="00C369E7" w:rsidP="00C3557D">
      <w:pPr>
        <w:rPr>
          <w:lang w:val="en-US"/>
        </w:rPr>
      </w:pPr>
      <w:r w:rsidRPr="00C369E7">
        <w:rPr>
          <w:b/>
          <w:lang w:val="en-US"/>
        </w:rPr>
        <w:t>“</w:t>
      </w:r>
      <w:proofErr w:type="gramStart"/>
      <w:r w:rsidRPr="00C369E7">
        <w:rPr>
          <w:b/>
          <w:lang w:val="en-US"/>
        </w:rPr>
        <w:t>up</w:t>
      </w:r>
      <w:proofErr w:type="gramEnd"/>
      <w:r w:rsidRPr="00C369E7">
        <w:rPr>
          <w:b/>
          <w:lang w:val="en-US"/>
        </w:rPr>
        <w:t xml:space="preserve"> in the skies I cause the spirits to dance:”</w:t>
      </w:r>
      <w:r>
        <w:rPr>
          <w:lang w:val="en-US"/>
        </w:rPr>
        <w:t xml:space="preserve"> Canadian Aboriginal culture and contemporary literature</w:t>
      </w:r>
    </w:p>
    <w:p w:rsidR="00C369E7" w:rsidRDefault="00C369E7" w:rsidP="00C3557D">
      <w:pPr>
        <w:rPr>
          <w:lang w:val="en-US"/>
        </w:rPr>
      </w:pPr>
      <w:r>
        <w:rPr>
          <w:lang w:val="en-US"/>
        </w:rPr>
        <w:lastRenderedPageBreak/>
        <w:t xml:space="preserve">(Robert F. </w:t>
      </w:r>
      <w:proofErr w:type="spellStart"/>
      <w:r>
        <w:rPr>
          <w:lang w:val="en-US"/>
        </w:rPr>
        <w:t>Berkhofer</w:t>
      </w:r>
      <w:proofErr w:type="spellEnd"/>
      <w:r>
        <w:rPr>
          <w:lang w:val="en-US"/>
        </w:rPr>
        <w:t xml:space="preserve">: “The Idea of the Indian: Invention and Perpetuation” from: </w:t>
      </w:r>
      <w:r w:rsidRPr="00C369E7">
        <w:rPr>
          <w:i/>
          <w:lang w:val="en-US"/>
        </w:rPr>
        <w:t>The White Man’s Indian: Images of the American Indian from Columbus to the Present</w:t>
      </w:r>
      <w:r>
        <w:rPr>
          <w:lang w:val="en-US"/>
        </w:rPr>
        <w:t>)</w:t>
      </w:r>
    </w:p>
    <w:p w:rsidR="002B16E5" w:rsidRDefault="002B16E5" w:rsidP="00C3557D">
      <w:pPr>
        <w:rPr>
          <w:lang w:val="en-US"/>
        </w:rPr>
      </w:pPr>
    </w:p>
    <w:p w:rsidR="002B16E5" w:rsidRDefault="002B16E5" w:rsidP="00C3557D">
      <w:pPr>
        <w:rPr>
          <w:lang w:val="en-US"/>
        </w:rPr>
      </w:pPr>
    </w:p>
    <w:p w:rsidR="00417CDC" w:rsidRPr="00C369E7" w:rsidRDefault="00417CDC" w:rsidP="00C369E7">
      <w:r w:rsidRPr="00764634">
        <w:rPr>
          <w:b/>
          <w:lang w:val="en-CA"/>
        </w:rPr>
        <w:t>Week 5:</w:t>
      </w:r>
      <w:r w:rsidRPr="00764634">
        <w:rPr>
          <w:b/>
          <w:lang w:val="en-CA"/>
        </w:rPr>
        <w:br/>
      </w:r>
      <w:r w:rsidR="00C369E7" w:rsidRPr="00C369E7">
        <w:rPr>
          <w:b/>
          <w:lang w:val="en-CA"/>
        </w:rPr>
        <w:t>“the ghosts of those who have never been:”</w:t>
      </w:r>
      <w:r w:rsidR="00C369E7">
        <w:rPr>
          <w:lang w:val="en-CA"/>
        </w:rPr>
        <w:t xml:space="preserve"> Margaret Laurence and the quest for identity self-construction </w:t>
      </w:r>
    </w:p>
    <w:p w:rsidR="00417CDC" w:rsidRPr="00764634" w:rsidRDefault="00C369E7" w:rsidP="00C3557D">
      <w:pPr>
        <w:rPr>
          <w:lang w:val="en-CA"/>
        </w:rPr>
      </w:pPr>
      <w:r>
        <w:rPr>
          <w:lang w:val="en-CA"/>
        </w:rPr>
        <w:t xml:space="preserve">(Toshiko </w:t>
      </w:r>
      <w:proofErr w:type="spellStart"/>
      <w:r>
        <w:rPr>
          <w:lang w:val="en-CA"/>
        </w:rPr>
        <w:t>Tsutsumi</w:t>
      </w:r>
      <w:proofErr w:type="spellEnd"/>
      <w:r>
        <w:rPr>
          <w:lang w:val="en-CA"/>
        </w:rPr>
        <w:t xml:space="preserve">: “Regionalism, Nationalism and Internationalism in Margaret Laurence”) </w:t>
      </w:r>
    </w:p>
    <w:p w:rsidR="00417CDC" w:rsidRDefault="00417CDC" w:rsidP="00C3557D">
      <w:pPr>
        <w:rPr>
          <w:b/>
          <w:lang w:val="en-CA"/>
        </w:rPr>
      </w:pPr>
    </w:p>
    <w:p w:rsidR="00417CDC" w:rsidRDefault="00417CDC" w:rsidP="00C369E7">
      <w:pPr>
        <w:rPr>
          <w:lang w:val="en-CA"/>
        </w:rPr>
      </w:pPr>
      <w:r w:rsidRPr="00764634">
        <w:rPr>
          <w:b/>
          <w:lang w:val="en-CA"/>
        </w:rPr>
        <w:t>Week 6:</w:t>
      </w:r>
      <w:r w:rsidRPr="00764634">
        <w:rPr>
          <w:b/>
          <w:lang w:val="en-CA"/>
        </w:rPr>
        <w:br/>
      </w:r>
      <w:r w:rsidR="00C369E7" w:rsidRPr="00C369E7">
        <w:rPr>
          <w:b/>
          <w:lang w:val="en-CA"/>
        </w:rPr>
        <w:t>“image incorrect:”</w:t>
      </w:r>
      <w:r w:rsidR="00C369E7">
        <w:rPr>
          <w:lang w:val="en-CA"/>
        </w:rPr>
        <w:t xml:space="preserve"> Austin Clarke and the black Canadian experience</w:t>
      </w:r>
    </w:p>
    <w:p w:rsidR="00C369E7" w:rsidRPr="00764634" w:rsidRDefault="00C369E7" w:rsidP="00C369E7">
      <w:pPr>
        <w:rPr>
          <w:lang w:val="en-CA"/>
        </w:rPr>
      </w:pPr>
      <w:r>
        <w:rPr>
          <w:lang w:val="en-CA"/>
        </w:rPr>
        <w:t>(Northrop Frye: “Sharing the Continent”)</w:t>
      </w:r>
    </w:p>
    <w:p w:rsidR="00417CDC" w:rsidRPr="00764634" w:rsidRDefault="00417CDC" w:rsidP="00C3557D">
      <w:pPr>
        <w:rPr>
          <w:b/>
          <w:lang w:val="en-CA"/>
        </w:rPr>
      </w:pPr>
    </w:p>
    <w:p w:rsidR="00417CDC" w:rsidRDefault="00417CDC" w:rsidP="00C3557D">
      <w:pPr>
        <w:rPr>
          <w:b/>
          <w:lang w:val="en-CA"/>
        </w:rPr>
      </w:pPr>
    </w:p>
    <w:p w:rsidR="00417CDC" w:rsidRPr="00764634" w:rsidRDefault="00417CDC" w:rsidP="00C3557D">
      <w:pPr>
        <w:rPr>
          <w:b/>
          <w:lang w:val="en-CA"/>
        </w:rPr>
      </w:pPr>
      <w:r w:rsidRPr="00764634">
        <w:rPr>
          <w:b/>
          <w:lang w:val="en-CA"/>
        </w:rPr>
        <w:t>Week 7:</w:t>
      </w:r>
    </w:p>
    <w:p w:rsidR="00417CDC" w:rsidRDefault="00C369E7" w:rsidP="00C3557D">
      <w:pPr>
        <w:autoSpaceDE w:val="0"/>
        <w:autoSpaceDN w:val="0"/>
        <w:adjustRightInd w:val="0"/>
        <w:rPr>
          <w:lang w:val="en-CA"/>
        </w:rPr>
      </w:pPr>
      <w:r w:rsidRPr="00C369E7">
        <w:rPr>
          <w:b/>
          <w:lang w:val="en-CA"/>
        </w:rPr>
        <w:t>“</w:t>
      </w:r>
      <w:proofErr w:type="gramStart"/>
      <w:r w:rsidRPr="00C369E7">
        <w:rPr>
          <w:b/>
          <w:lang w:val="en-CA"/>
        </w:rPr>
        <w:t>the</w:t>
      </w:r>
      <w:proofErr w:type="gramEnd"/>
      <w:r w:rsidRPr="00C369E7">
        <w:rPr>
          <w:b/>
          <w:lang w:val="en-CA"/>
        </w:rPr>
        <w:t xml:space="preserve"> torrents of the self:”</w:t>
      </w:r>
      <w:r>
        <w:rPr>
          <w:lang w:val="en-CA"/>
        </w:rPr>
        <w:t xml:space="preserve"> French-Canadian writing and the co-founding of the nation</w:t>
      </w:r>
    </w:p>
    <w:p w:rsidR="00C369E7" w:rsidRDefault="00C369E7" w:rsidP="00C3557D">
      <w:pPr>
        <w:autoSpaceDE w:val="0"/>
        <w:autoSpaceDN w:val="0"/>
        <w:adjustRightInd w:val="0"/>
        <w:rPr>
          <w:lang w:val="en-CA"/>
        </w:rPr>
      </w:pPr>
      <w:r>
        <w:rPr>
          <w:lang w:val="en-CA"/>
        </w:rPr>
        <w:t xml:space="preserve">(Mordecai Richler: from </w:t>
      </w:r>
      <w:r w:rsidRPr="00C369E7">
        <w:rPr>
          <w:i/>
          <w:lang w:val="en-CA"/>
        </w:rPr>
        <w:t>Oh Canada, Oh Quebec</w:t>
      </w:r>
      <w:r>
        <w:rPr>
          <w:lang w:val="en-CA"/>
        </w:rPr>
        <w:t>)</w:t>
      </w:r>
    </w:p>
    <w:p w:rsidR="00417CDC" w:rsidRPr="00764634" w:rsidRDefault="00417CDC" w:rsidP="00C3557D">
      <w:pPr>
        <w:autoSpaceDE w:val="0"/>
        <w:autoSpaceDN w:val="0"/>
        <w:adjustRightInd w:val="0"/>
        <w:rPr>
          <w:rFonts w:eastAsiaTheme="minorHAnsi"/>
          <w:iCs/>
          <w:lang w:val="en-CA" w:eastAsia="en-US"/>
        </w:rPr>
      </w:pPr>
    </w:p>
    <w:p w:rsidR="00417CDC" w:rsidRPr="00764634" w:rsidRDefault="00417CDC" w:rsidP="00C3557D">
      <w:pPr>
        <w:rPr>
          <w:b/>
          <w:lang w:val="en-CA"/>
        </w:rPr>
      </w:pPr>
    </w:p>
    <w:p w:rsidR="00417CDC" w:rsidRPr="00764634" w:rsidRDefault="00417CDC" w:rsidP="00C3557D">
      <w:pPr>
        <w:rPr>
          <w:b/>
          <w:lang w:val="en-CA"/>
        </w:rPr>
      </w:pPr>
      <w:r w:rsidRPr="00764634">
        <w:rPr>
          <w:b/>
          <w:lang w:val="en-CA"/>
        </w:rPr>
        <w:t>Week 8:</w:t>
      </w:r>
    </w:p>
    <w:p w:rsidR="00417CDC" w:rsidRDefault="00C369E7" w:rsidP="00C3557D">
      <w:pPr>
        <w:rPr>
          <w:lang w:val="en-CA"/>
        </w:rPr>
      </w:pPr>
      <w:r w:rsidRPr="00C369E7">
        <w:rPr>
          <w:b/>
          <w:lang w:val="en-CA"/>
        </w:rPr>
        <w:t>“</w:t>
      </w:r>
      <w:proofErr w:type="gramStart"/>
      <w:r w:rsidRPr="00C369E7">
        <w:rPr>
          <w:b/>
          <w:lang w:val="en-CA"/>
        </w:rPr>
        <w:t>always</w:t>
      </w:r>
      <w:proofErr w:type="gramEnd"/>
      <w:r w:rsidRPr="00C369E7">
        <w:rPr>
          <w:b/>
          <w:lang w:val="en-CA"/>
        </w:rPr>
        <w:t xml:space="preserve"> observers, never participants:”</w:t>
      </w:r>
      <w:r>
        <w:rPr>
          <w:lang w:val="en-CA"/>
        </w:rPr>
        <w:t xml:space="preserve"> Jewish writers on the Canadian literary scene</w:t>
      </w:r>
    </w:p>
    <w:p w:rsidR="00C369E7" w:rsidRPr="000A720B" w:rsidRDefault="00C369E7" w:rsidP="00C3557D">
      <w:pPr>
        <w:rPr>
          <w:lang w:val="en-CA"/>
        </w:rPr>
      </w:pPr>
      <w:r>
        <w:rPr>
          <w:lang w:val="en-CA"/>
        </w:rPr>
        <w:t xml:space="preserve">(Francesco </w:t>
      </w:r>
      <w:proofErr w:type="spellStart"/>
      <w:r>
        <w:rPr>
          <w:lang w:val="en-CA"/>
        </w:rPr>
        <w:t>Lorrigio</w:t>
      </w:r>
      <w:proofErr w:type="spellEnd"/>
      <w:r>
        <w:rPr>
          <w:lang w:val="en-CA"/>
        </w:rPr>
        <w:t xml:space="preserve">: “The Question of the Corpus: Ethnicity and Canadian Literature”) </w:t>
      </w:r>
    </w:p>
    <w:p w:rsidR="00417CDC" w:rsidRDefault="00417CDC" w:rsidP="00C3557D">
      <w:pPr>
        <w:rPr>
          <w:b/>
          <w:lang w:val="en-CA"/>
        </w:rPr>
      </w:pPr>
    </w:p>
    <w:p w:rsidR="003B535C" w:rsidRPr="00764634" w:rsidRDefault="003B535C" w:rsidP="00C3557D">
      <w:pPr>
        <w:rPr>
          <w:b/>
          <w:lang w:val="en-CA"/>
        </w:rPr>
      </w:pPr>
    </w:p>
    <w:p w:rsidR="00417CDC" w:rsidRPr="00764634" w:rsidRDefault="00417CDC" w:rsidP="00C3557D">
      <w:pPr>
        <w:rPr>
          <w:b/>
          <w:lang w:val="en-CA"/>
        </w:rPr>
      </w:pPr>
      <w:r w:rsidRPr="00764634">
        <w:rPr>
          <w:b/>
          <w:lang w:val="en-CA"/>
        </w:rPr>
        <w:t>Week 9:</w:t>
      </w:r>
    </w:p>
    <w:p w:rsidR="00417CDC" w:rsidRDefault="003B535C" w:rsidP="00C3557D">
      <w:pPr>
        <w:rPr>
          <w:lang w:val="en-CA"/>
        </w:rPr>
      </w:pPr>
      <w:r>
        <w:rPr>
          <w:lang w:val="en-CA"/>
        </w:rPr>
        <w:t>“</w:t>
      </w:r>
      <w:proofErr w:type="gramStart"/>
      <w:r>
        <w:rPr>
          <w:lang w:val="en-CA"/>
        </w:rPr>
        <w:t>engineering</w:t>
      </w:r>
      <w:proofErr w:type="gramEnd"/>
      <w:r>
        <w:rPr>
          <w:lang w:val="en-CA"/>
        </w:rPr>
        <w:t xml:space="preserve"> identities:” Slavic element in the Canadian cultural mosaic</w:t>
      </w:r>
    </w:p>
    <w:p w:rsidR="003B535C" w:rsidRDefault="003B535C" w:rsidP="00C3557D">
      <w:pPr>
        <w:rPr>
          <w:lang w:val="en-CA"/>
        </w:rPr>
      </w:pPr>
      <w:r>
        <w:rPr>
          <w:lang w:val="en-CA"/>
        </w:rPr>
        <w:t xml:space="preserve">(Linda </w:t>
      </w:r>
      <w:proofErr w:type="spellStart"/>
      <w:r>
        <w:rPr>
          <w:lang w:val="en-CA"/>
        </w:rPr>
        <w:t>Hutcheon</w:t>
      </w:r>
      <w:proofErr w:type="spellEnd"/>
      <w:r>
        <w:rPr>
          <w:lang w:val="en-CA"/>
        </w:rPr>
        <w:t xml:space="preserve"> and Marion Richmond: “Introduction” from: </w:t>
      </w:r>
      <w:r w:rsidRPr="003B535C">
        <w:rPr>
          <w:i/>
          <w:lang w:val="en-CA"/>
        </w:rPr>
        <w:t>Other Solitudes: Canadian Multicultural Fictions</w:t>
      </w:r>
      <w:r>
        <w:rPr>
          <w:lang w:val="en-CA"/>
        </w:rPr>
        <w:t xml:space="preserve">) </w:t>
      </w:r>
    </w:p>
    <w:p w:rsidR="003B535C" w:rsidRPr="00BC1F41" w:rsidRDefault="003B535C" w:rsidP="00C3557D">
      <w:pPr>
        <w:rPr>
          <w:lang w:val="en-CA"/>
        </w:rPr>
      </w:pPr>
    </w:p>
    <w:p w:rsidR="00417CDC" w:rsidRPr="00764634" w:rsidRDefault="00417CDC" w:rsidP="00C3557D">
      <w:pPr>
        <w:rPr>
          <w:b/>
          <w:lang w:val="en-CA"/>
        </w:rPr>
      </w:pPr>
    </w:p>
    <w:p w:rsidR="00417CDC" w:rsidRPr="00764634" w:rsidRDefault="00417CDC" w:rsidP="00C3557D">
      <w:pPr>
        <w:rPr>
          <w:b/>
          <w:lang w:val="en-CA"/>
        </w:rPr>
      </w:pPr>
      <w:r w:rsidRPr="00764634">
        <w:rPr>
          <w:b/>
          <w:lang w:val="en-CA"/>
        </w:rPr>
        <w:t xml:space="preserve">Week 10: </w:t>
      </w:r>
    </w:p>
    <w:p w:rsidR="00417CDC" w:rsidRDefault="003B535C" w:rsidP="00C3557D">
      <w:pPr>
        <w:rPr>
          <w:lang w:val="en-CA"/>
        </w:rPr>
      </w:pPr>
      <w:r>
        <w:rPr>
          <w:lang w:val="en-CA"/>
        </w:rPr>
        <w:t>“</w:t>
      </w:r>
      <w:proofErr w:type="gramStart"/>
      <w:r>
        <w:rPr>
          <w:lang w:val="en-CA"/>
        </w:rPr>
        <w:t>would</w:t>
      </w:r>
      <w:proofErr w:type="gramEnd"/>
      <w:r>
        <w:rPr>
          <w:lang w:val="en-CA"/>
        </w:rPr>
        <w:t xml:space="preserve"> I come at last to the freeing word?” Asian spices in the Canadian cultural salad bowl</w:t>
      </w:r>
    </w:p>
    <w:p w:rsidR="003B535C" w:rsidRDefault="003B535C" w:rsidP="00C3557D">
      <w:pPr>
        <w:rPr>
          <w:lang w:val="en-CA"/>
        </w:rPr>
      </w:pPr>
      <w:r>
        <w:rPr>
          <w:lang w:val="en-CA"/>
        </w:rPr>
        <w:t>(</w:t>
      </w:r>
      <w:proofErr w:type="spellStart"/>
      <w:r>
        <w:rPr>
          <w:lang w:val="en-CA"/>
        </w:rPr>
        <w:t>Arun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Mukherjee</w:t>
      </w:r>
      <w:proofErr w:type="spellEnd"/>
      <w:r>
        <w:rPr>
          <w:lang w:val="en-CA"/>
        </w:rPr>
        <w:t xml:space="preserve">: “Ideology in the Classroom: A Case Study in the Teaching of English Literature in Canadian Universities” from: </w:t>
      </w:r>
      <w:r w:rsidRPr="003B535C">
        <w:rPr>
          <w:i/>
          <w:lang w:val="en-CA"/>
        </w:rPr>
        <w:t>Oppositional Aesthetics: Writing from a Hyphenated Space</w:t>
      </w:r>
      <w:r>
        <w:rPr>
          <w:lang w:val="en-CA"/>
        </w:rPr>
        <w:t xml:space="preserve">) </w:t>
      </w:r>
    </w:p>
    <w:p w:rsidR="003B535C" w:rsidRDefault="003B535C" w:rsidP="00C3557D">
      <w:pPr>
        <w:rPr>
          <w:b/>
          <w:lang w:val="en-CA"/>
        </w:rPr>
      </w:pPr>
    </w:p>
    <w:p w:rsidR="00417CDC" w:rsidRDefault="00417CDC" w:rsidP="00C3557D">
      <w:pPr>
        <w:rPr>
          <w:b/>
          <w:lang w:val="en-US"/>
        </w:rPr>
      </w:pPr>
      <w:r>
        <w:rPr>
          <w:b/>
          <w:lang w:val="en-US"/>
        </w:rPr>
        <w:t>Week 11:</w:t>
      </w:r>
    </w:p>
    <w:p w:rsidR="00417CDC" w:rsidRDefault="00BE4B5C" w:rsidP="00C3557D">
      <w:pPr>
        <w:rPr>
          <w:lang w:val="en-US"/>
        </w:rPr>
      </w:pPr>
      <w:r>
        <w:rPr>
          <w:lang w:val="en-US"/>
        </w:rPr>
        <w:t>“</w:t>
      </w:r>
      <w:r w:rsidRPr="00A052AD">
        <w:rPr>
          <w:b/>
          <w:lang w:val="en-US"/>
        </w:rPr>
        <w:t>American frontiers:”</w:t>
      </w:r>
      <w:r>
        <w:rPr>
          <w:lang w:val="en-US"/>
        </w:rPr>
        <w:t xml:space="preserve"> Multiculturalism on Stage</w:t>
      </w:r>
      <w:r>
        <w:rPr>
          <w:lang w:val="en-US"/>
        </w:rPr>
        <w:br/>
        <w:t xml:space="preserve">Guillermo </w:t>
      </w:r>
      <w:proofErr w:type="spellStart"/>
      <w:r>
        <w:rPr>
          <w:lang w:val="en-US"/>
        </w:rPr>
        <w:t>Verdecchia</w:t>
      </w:r>
      <w:proofErr w:type="spellEnd"/>
      <w:r>
        <w:rPr>
          <w:lang w:val="en-US"/>
        </w:rPr>
        <w:t xml:space="preserve">: </w:t>
      </w:r>
      <w:proofErr w:type="spellStart"/>
      <w:r w:rsidRPr="00A052AD">
        <w:rPr>
          <w:i/>
          <w:lang w:val="en-US"/>
        </w:rPr>
        <w:t>Fronteras</w:t>
      </w:r>
      <w:proofErr w:type="spellEnd"/>
      <w:r w:rsidRPr="00A052AD">
        <w:rPr>
          <w:i/>
          <w:lang w:val="en-US"/>
        </w:rPr>
        <w:t xml:space="preserve"> </w:t>
      </w:r>
      <w:proofErr w:type="spellStart"/>
      <w:r w:rsidRPr="00A052AD">
        <w:rPr>
          <w:i/>
          <w:lang w:val="en-US"/>
        </w:rPr>
        <w:t>Americanas</w:t>
      </w:r>
      <w:proofErr w:type="spellEnd"/>
    </w:p>
    <w:p w:rsidR="00A052AD" w:rsidRDefault="00A052AD" w:rsidP="00C3557D">
      <w:pPr>
        <w:rPr>
          <w:lang w:val="en-US"/>
        </w:rPr>
      </w:pPr>
      <w:r>
        <w:rPr>
          <w:lang w:val="en-US"/>
        </w:rPr>
        <w:t>(</w:t>
      </w:r>
      <w:proofErr w:type="spellStart"/>
      <w:r>
        <w:rPr>
          <w:lang w:val="en-US"/>
        </w:rPr>
        <w:t>Mumbi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Tindyebwa</w:t>
      </w:r>
      <w:proofErr w:type="spellEnd"/>
      <w:r>
        <w:rPr>
          <w:lang w:val="en-US"/>
        </w:rPr>
        <w:t>: “A Multicultural Stage”</w:t>
      </w:r>
      <w:r w:rsidR="005A2FEB">
        <w:rPr>
          <w:lang w:val="en-US"/>
        </w:rPr>
        <w:t>)</w:t>
      </w:r>
      <w:r>
        <w:rPr>
          <w:lang w:val="en-US"/>
        </w:rPr>
        <w:t xml:space="preserve"> </w:t>
      </w:r>
    </w:p>
    <w:p w:rsidR="003B535C" w:rsidRDefault="003B535C" w:rsidP="00C3557D">
      <w:pPr>
        <w:rPr>
          <w:lang w:val="en-US"/>
        </w:rPr>
      </w:pPr>
    </w:p>
    <w:p w:rsidR="003B535C" w:rsidRDefault="003B535C" w:rsidP="00C3557D">
      <w:pPr>
        <w:rPr>
          <w:b/>
          <w:lang w:val="en-US"/>
        </w:rPr>
      </w:pPr>
    </w:p>
    <w:p w:rsidR="00417CDC" w:rsidRDefault="00417CDC" w:rsidP="003E6F02">
      <w:pPr>
        <w:rPr>
          <w:lang w:val="en-US"/>
        </w:rPr>
      </w:pPr>
      <w:r>
        <w:rPr>
          <w:b/>
          <w:lang w:val="en-US"/>
        </w:rPr>
        <w:t>Week 12:</w:t>
      </w:r>
    </w:p>
    <w:p w:rsidR="003E6F02" w:rsidRDefault="003E6F02" w:rsidP="003E6F02">
      <w:pPr>
        <w:rPr>
          <w:lang w:val="en-US"/>
        </w:rPr>
      </w:pPr>
      <w:r w:rsidRPr="003E6F02">
        <w:rPr>
          <w:b/>
          <w:lang w:val="en-US"/>
        </w:rPr>
        <w:t>“The (n</w:t>
      </w:r>
      <w:proofErr w:type="gramStart"/>
      <w:r w:rsidRPr="003E6F02">
        <w:rPr>
          <w:b/>
          <w:lang w:val="en-US"/>
        </w:rPr>
        <w:t>)convenient</w:t>
      </w:r>
      <w:proofErr w:type="gramEnd"/>
      <w:r w:rsidRPr="003E6F02">
        <w:rPr>
          <w:b/>
          <w:lang w:val="en-US"/>
        </w:rPr>
        <w:t xml:space="preserve"> Other:”</w:t>
      </w:r>
      <w:r>
        <w:rPr>
          <w:lang w:val="en-US"/>
        </w:rPr>
        <w:t xml:space="preserve"> Ins </w:t>
      </w:r>
      <w:proofErr w:type="spellStart"/>
      <w:r>
        <w:rPr>
          <w:lang w:val="en-US"/>
        </w:rPr>
        <w:t>Choi</w:t>
      </w:r>
      <w:proofErr w:type="spellEnd"/>
      <w:r>
        <w:rPr>
          <w:lang w:val="en-US"/>
        </w:rPr>
        <w:t xml:space="preserve">: </w:t>
      </w:r>
      <w:r w:rsidRPr="005E6AC5">
        <w:rPr>
          <w:i/>
          <w:lang w:val="en-US"/>
        </w:rPr>
        <w:t>Kim’s Convenience</w:t>
      </w:r>
    </w:p>
    <w:p w:rsidR="005E6AC5" w:rsidRPr="005E6AC5" w:rsidRDefault="005E6AC5" w:rsidP="005E6AC5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>
        <w:rPr>
          <w:lang w:val="en-US"/>
        </w:rPr>
        <w:t xml:space="preserve">(Colleen Kim </w:t>
      </w:r>
      <w:proofErr w:type="spellStart"/>
      <w:r>
        <w:rPr>
          <w:lang w:val="en-US"/>
        </w:rPr>
        <w:t>Daniher</w:t>
      </w:r>
      <w:proofErr w:type="spellEnd"/>
      <w:r>
        <w:rPr>
          <w:lang w:val="en-US"/>
        </w:rPr>
        <w:t xml:space="preserve">: “On Teaching </w:t>
      </w:r>
      <w:r w:rsidRPr="005E6AC5">
        <w:rPr>
          <w:i/>
          <w:lang w:val="en-US"/>
        </w:rPr>
        <w:t>Kim’s Convenience</w:t>
      </w:r>
      <w:r>
        <w:rPr>
          <w:lang w:val="en-US"/>
        </w:rPr>
        <w:t xml:space="preserve">: </w:t>
      </w:r>
      <w:r w:rsidRPr="005E6AC5">
        <w:rPr>
          <w:rFonts w:eastAsiaTheme="minorHAnsi"/>
          <w:bCs/>
          <w:lang w:eastAsia="en-US"/>
        </w:rPr>
        <w:t>Asian American Studies, Asian</w:t>
      </w:r>
    </w:p>
    <w:p w:rsidR="003E6F02" w:rsidRDefault="005E6AC5" w:rsidP="005E6AC5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5E6AC5">
        <w:rPr>
          <w:rFonts w:eastAsiaTheme="minorHAnsi"/>
          <w:bCs/>
          <w:lang w:eastAsia="en-US"/>
        </w:rPr>
        <w:t>Canadian Studies, and the Pol</w:t>
      </w:r>
      <w:r>
        <w:rPr>
          <w:rFonts w:eastAsiaTheme="minorHAnsi"/>
          <w:bCs/>
          <w:lang w:eastAsia="en-US"/>
        </w:rPr>
        <w:t xml:space="preserve">itics of Race in Asian Canadian </w:t>
      </w:r>
      <w:r w:rsidRPr="005E6AC5">
        <w:rPr>
          <w:rFonts w:eastAsiaTheme="minorHAnsi"/>
          <w:bCs/>
          <w:lang w:eastAsia="en-US"/>
        </w:rPr>
        <w:t>Theatre and Performance Studies</w:t>
      </w:r>
      <w:r>
        <w:rPr>
          <w:rFonts w:eastAsiaTheme="minorHAnsi"/>
          <w:bCs/>
          <w:lang w:eastAsia="en-US"/>
        </w:rPr>
        <w:t xml:space="preserve">“) </w:t>
      </w:r>
    </w:p>
    <w:p w:rsidR="005E6AC5" w:rsidRPr="005E6AC5" w:rsidRDefault="005E6AC5" w:rsidP="005E6AC5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417CDC" w:rsidRPr="003536FB" w:rsidRDefault="00417CDC" w:rsidP="00C3557D">
      <w:pPr>
        <w:rPr>
          <w:b/>
          <w:lang w:val="en-US"/>
        </w:rPr>
      </w:pPr>
      <w:r w:rsidRPr="003536FB">
        <w:rPr>
          <w:b/>
          <w:lang w:val="en-US"/>
        </w:rPr>
        <w:t>Week 13:</w:t>
      </w:r>
    </w:p>
    <w:p w:rsidR="00D04C13" w:rsidRPr="005A2FEB" w:rsidRDefault="00417CDC" w:rsidP="00C3557D">
      <w:pPr>
        <w:rPr>
          <w:lang w:val="en-US"/>
        </w:rPr>
      </w:pPr>
      <w:r>
        <w:rPr>
          <w:lang w:val="en-US"/>
        </w:rPr>
        <w:t>Credit week</w:t>
      </w:r>
    </w:p>
    <w:sectPr w:rsidR="00D04C13" w:rsidRPr="005A2FEB" w:rsidSect="00D12A01"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A02" w:rsidRDefault="005A2FEB" w:rsidP="00556A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56A02" w:rsidRDefault="005A2FEB" w:rsidP="00556A0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A02" w:rsidRDefault="005A2FEB" w:rsidP="00556A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56A02" w:rsidRDefault="005A2FEB" w:rsidP="00556A02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hyphenationZone w:val="425"/>
  <w:characterSpacingControl w:val="doNotCompress"/>
  <w:compat/>
  <w:rsids>
    <w:rsidRoot w:val="00417CDC"/>
    <w:rsid w:val="002B16E5"/>
    <w:rsid w:val="003B535C"/>
    <w:rsid w:val="003E6F02"/>
    <w:rsid w:val="00417CDC"/>
    <w:rsid w:val="005A2FEB"/>
    <w:rsid w:val="005E6AC5"/>
    <w:rsid w:val="00A052AD"/>
    <w:rsid w:val="00BE4B5C"/>
    <w:rsid w:val="00C3557D"/>
    <w:rsid w:val="00C369E7"/>
    <w:rsid w:val="00D04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17CDC"/>
    <w:pPr>
      <w:jc w:val="center"/>
    </w:pPr>
    <w:rPr>
      <w:b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417CDC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BodyText">
    <w:name w:val="Body Text"/>
    <w:basedOn w:val="Normal"/>
    <w:link w:val="BodyTextChar"/>
    <w:rsid w:val="00417CDC"/>
    <w:pPr>
      <w:jc w:val="both"/>
    </w:pPr>
    <w:rPr>
      <w:rFonts w:ascii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417CDC"/>
    <w:rPr>
      <w:rFonts w:ascii="Arial" w:eastAsia="Times New Roman" w:hAnsi="Arial" w:cs="Times New Roman"/>
      <w:sz w:val="20"/>
      <w:szCs w:val="20"/>
      <w:lang w:eastAsia="cs-CZ"/>
    </w:rPr>
  </w:style>
  <w:style w:type="character" w:styleId="Hyperlink">
    <w:name w:val="Hyperlink"/>
    <w:rsid w:val="00417CDC"/>
    <w:rPr>
      <w:color w:val="0000FF"/>
      <w:u w:val="single"/>
    </w:rPr>
  </w:style>
  <w:style w:type="paragraph" w:styleId="Footer">
    <w:name w:val="footer"/>
    <w:basedOn w:val="Normal"/>
    <w:link w:val="FooterChar"/>
    <w:rsid w:val="00417C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417CD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ageNumber">
    <w:name w:val="page number"/>
    <w:basedOn w:val="DefaultParagraphFont"/>
    <w:rsid w:val="00417CDC"/>
  </w:style>
  <w:style w:type="character" w:styleId="Emphasis">
    <w:name w:val="Emphasis"/>
    <w:basedOn w:val="DefaultParagraphFont"/>
    <w:uiPriority w:val="20"/>
    <w:qFormat/>
    <w:rsid w:val="00417CD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17CD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530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2021-02-12T14:57:00Z</dcterms:created>
  <dcterms:modified xsi:type="dcterms:W3CDTF">2021-02-12T17:50:00Z</dcterms:modified>
</cp:coreProperties>
</file>