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2"/>
        <w:gridCol w:w="2343"/>
        <w:gridCol w:w="567"/>
        <w:gridCol w:w="1768"/>
        <w:gridCol w:w="1351"/>
        <w:gridCol w:w="992"/>
      </w:tblGrid>
      <w:tr w:rsidR="00C7213B" w:rsidRPr="003D1360" w14:paraId="082AE058" w14:textId="77777777" w:rsidTr="00A046BC">
        <w:trPr>
          <w:trHeight w:val="397"/>
        </w:trPr>
        <w:tc>
          <w:tcPr>
            <w:tcW w:w="9993" w:type="dxa"/>
            <w:gridSpan w:val="6"/>
            <w:tcBorders>
              <w:bottom w:val="double" w:sz="4" w:space="0" w:color="auto"/>
            </w:tcBorders>
            <w:shd w:val="clear" w:color="auto" w:fill="BDD6EE"/>
            <w:vAlign w:val="center"/>
          </w:tcPr>
          <w:p w14:paraId="23477A48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B-III – Charakteristika studijního předmětu</w:t>
            </w:r>
          </w:p>
        </w:tc>
      </w:tr>
      <w:tr w:rsidR="00C7213B" w:rsidRPr="003D1360" w14:paraId="0B39B6FC" w14:textId="77777777" w:rsidTr="00A046BC">
        <w:trPr>
          <w:trHeight w:val="454"/>
        </w:trPr>
        <w:tc>
          <w:tcPr>
            <w:tcW w:w="2972" w:type="dxa"/>
            <w:tcBorders>
              <w:top w:val="double" w:sz="4" w:space="0" w:color="auto"/>
            </w:tcBorders>
            <w:shd w:val="clear" w:color="auto" w:fill="FDE9D9"/>
            <w:vAlign w:val="center"/>
          </w:tcPr>
          <w:p w14:paraId="6FED4EAE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Název studijního předmětu</w:t>
            </w:r>
          </w:p>
        </w:tc>
        <w:tc>
          <w:tcPr>
            <w:tcW w:w="7021" w:type="dxa"/>
            <w:gridSpan w:val="5"/>
            <w:tcBorders>
              <w:top w:val="double" w:sz="4" w:space="0" w:color="auto"/>
            </w:tcBorders>
            <w:vAlign w:val="center"/>
          </w:tcPr>
          <w:p w14:paraId="7DF06AAF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Praktické právo v řízení organizací II. </w:t>
            </w:r>
          </w:p>
        </w:tc>
      </w:tr>
      <w:tr w:rsidR="00C7213B" w:rsidRPr="003D1360" w14:paraId="3D070D98" w14:textId="77777777" w:rsidTr="00A046BC">
        <w:trPr>
          <w:trHeight w:val="20"/>
        </w:trPr>
        <w:tc>
          <w:tcPr>
            <w:tcW w:w="2972" w:type="dxa"/>
            <w:shd w:val="clear" w:color="auto" w:fill="FDE9D9"/>
            <w:vAlign w:val="center"/>
          </w:tcPr>
          <w:p w14:paraId="402D9B51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Typ předmětu </w:t>
            </w:r>
          </w:p>
        </w:tc>
        <w:tc>
          <w:tcPr>
            <w:tcW w:w="4678" w:type="dxa"/>
            <w:gridSpan w:val="3"/>
          </w:tcPr>
          <w:p w14:paraId="30AC4DFD" w14:textId="77777777" w:rsidR="00C7213B" w:rsidRPr="003D1360" w:rsidRDefault="00C7213B" w:rsidP="00A046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Povinný, PPZ</w:t>
            </w:r>
          </w:p>
        </w:tc>
        <w:tc>
          <w:tcPr>
            <w:tcW w:w="1351" w:type="dxa"/>
            <w:shd w:val="clear" w:color="auto" w:fill="FDE9D9"/>
            <w:vAlign w:val="center"/>
          </w:tcPr>
          <w:p w14:paraId="5D38BB66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doporučený ročník / semestr</w:t>
            </w:r>
          </w:p>
        </w:tc>
        <w:tc>
          <w:tcPr>
            <w:tcW w:w="992" w:type="dxa"/>
            <w:vAlign w:val="center"/>
          </w:tcPr>
          <w:p w14:paraId="647A25BF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1/LS</w:t>
            </w:r>
          </w:p>
        </w:tc>
      </w:tr>
      <w:tr w:rsidR="00C7213B" w:rsidRPr="003D1360" w14:paraId="49B01DDE" w14:textId="77777777" w:rsidTr="00A046BC">
        <w:trPr>
          <w:trHeight w:val="454"/>
        </w:trPr>
        <w:tc>
          <w:tcPr>
            <w:tcW w:w="2972" w:type="dxa"/>
            <w:shd w:val="clear" w:color="auto" w:fill="FDE9D9"/>
            <w:vAlign w:val="center"/>
          </w:tcPr>
          <w:p w14:paraId="52A147B3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Rozsah studijního předmětu</w:t>
            </w:r>
          </w:p>
        </w:tc>
        <w:tc>
          <w:tcPr>
            <w:tcW w:w="2343" w:type="dxa"/>
            <w:vAlign w:val="center"/>
          </w:tcPr>
          <w:p w14:paraId="104882CF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0/2</w:t>
            </w:r>
          </w:p>
        </w:tc>
        <w:tc>
          <w:tcPr>
            <w:tcW w:w="567" w:type="dxa"/>
            <w:shd w:val="clear" w:color="auto" w:fill="FDE9D9"/>
            <w:vAlign w:val="center"/>
          </w:tcPr>
          <w:p w14:paraId="48CEFE70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hod. </w:t>
            </w:r>
          </w:p>
        </w:tc>
        <w:tc>
          <w:tcPr>
            <w:tcW w:w="1768" w:type="dxa"/>
            <w:vAlign w:val="center"/>
          </w:tcPr>
          <w:p w14:paraId="4803F437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351" w:type="dxa"/>
            <w:shd w:val="clear" w:color="auto" w:fill="FDE9D9"/>
            <w:vAlign w:val="center"/>
          </w:tcPr>
          <w:p w14:paraId="5ABCC08A" w14:textId="77777777" w:rsidR="00C7213B" w:rsidRPr="003D1360" w:rsidRDefault="00C7213B" w:rsidP="00A046BC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k</w:t>
            </w:r>
            <w:r w:rsidRPr="003D136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DE9D9"/>
              </w:rPr>
              <w:t>reditů</w:t>
            </w:r>
          </w:p>
        </w:tc>
        <w:tc>
          <w:tcPr>
            <w:tcW w:w="992" w:type="dxa"/>
            <w:vAlign w:val="center"/>
          </w:tcPr>
          <w:p w14:paraId="163350D1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14:paraId="0476B37B" w14:textId="77777777" w:rsidR="00C7213B" w:rsidRPr="003D1360" w:rsidRDefault="00C7213B" w:rsidP="00C7213B">
      <w:pPr>
        <w:spacing w:after="0"/>
        <w:ind w:left="708"/>
        <w:rPr>
          <w:rFonts w:ascii="Times New Roman" w:hAnsi="Times New Roman" w:cs="Times New Roman"/>
          <w:b/>
          <w:sz w:val="22"/>
          <w:szCs w:val="22"/>
          <w:shd w:val="clear" w:color="auto" w:fill="D9D9D9"/>
        </w:rPr>
      </w:pPr>
    </w:p>
    <w:tbl>
      <w:tblPr>
        <w:tblW w:w="100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642"/>
        <w:gridCol w:w="1702"/>
        <w:gridCol w:w="1418"/>
        <w:gridCol w:w="2126"/>
        <w:gridCol w:w="1136"/>
      </w:tblGrid>
      <w:tr w:rsidR="00C7213B" w:rsidRPr="003D1360" w14:paraId="1711497D" w14:textId="77777777" w:rsidTr="00A046BC">
        <w:trPr>
          <w:trHeight w:val="454"/>
        </w:trPr>
        <w:tc>
          <w:tcPr>
            <w:tcW w:w="2977" w:type="dxa"/>
            <w:shd w:val="clear" w:color="auto" w:fill="FDE9D9"/>
            <w:vAlign w:val="center"/>
          </w:tcPr>
          <w:p w14:paraId="58D02363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Dvousemestrální předmět</w:t>
            </w:r>
          </w:p>
        </w:tc>
        <w:tc>
          <w:tcPr>
            <w:tcW w:w="7024" w:type="dxa"/>
            <w:gridSpan w:val="5"/>
            <w:shd w:val="clear" w:color="auto" w:fill="auto"/>
            <w:vAlign w:val="center"/>
          </w:tcPr>
          <w:p w14:paraId="43EA8586" w14:textId="77777777" w:rsidR="00C7213B" w:rsidRPr="003D1360" w:rsidRDefault="00C7213B" w:rsidP="00A046B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2F2F2"/>
              </w:rPr>
            </w:pPr>
            <w:r w:rsidRPr="003D1360">
              <w:rPr>
                <w:rFonts w:ascii="Times New Roman" w:eastAsia="Calibri" w:hAnsi="Times New Roman" w:cs="Times New Roman"/>
                <w:sz w:val="22"/>
                <w:szCs w:val="22"/>
              </w:rPr>
              <w:t>Ne</w:t>
            </w:r>
          </w:p>
        </w:tc>
      </w:tr>
      <w:tr w:rsidR="00C7213B" w:rsidRPr="003D1360" w14:paraId="10680C2B" w14:textId="77777777" w:rsidTr="00A046BC">
        <w:tc>
          <w:tcPr>
            <w:tcW w:w="2977" w:type="dxa"/>
            <w:shd w:val="clear" w:color="auto" w:fill="D9D9D9"/>
            <w:vAlign w:val="center"/>
          </w:tcPr>
          <w:p w14:paraId="0D3CF1CB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Prerekvizity, korekvizity, ekvivalence</w:t>
            </w:r>
          </w:p>
        </w:tc>
        <w:tc>
          <w:tcPr>
            <w:tcW w:w="7024" w:type="dxa"/>
            <w:gridSpan w:val="5"/>
            <w:vAlign w:val="center"/>
          </w:tcPr>
          <w:p w14:paraId="7614A0C1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7213B" w:rsidRPr="003D1360" w14:paraId="600FA1D8" w14:textId="77777777" w:rsidTr="00A046BC">
        <w:trPr>
          <w:trHeight w:val="624"/>
        </w:trPr>
        <w:tc>
          <w:tcPr>
            <w:tcW w:w="2977" w:type="dxa"/>
            <w:shd w:val="clear" w:color="auto" w:fill="FDE9D9"/>
            <w:vAlign w:val="center"/>
          </w:tcPr>
          <w:p w14:paraId="02A7916F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Způsob ověření studijních výsledků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  <w:vAlign w:val="center"/>
          </w:tcPr>
          <w:p w14:paraId="7183118F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Klasifikovaný zápočet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4C458AAB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Forma výuky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vAlign w:val="center"/>
          </w:tcPr>
          <w:p w14:paraId="22E5AC4C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Cvičení se skupinovými diskusemi</w:t>
            </w:r>
          </w:p>
        </w:tc>
      </w:tr>
      <w:tr w:rsidR="00C7213B" w:rsidRPr="003D1360" w14:paraId="2E4002FA" w14:textId="77777777" w:rsidTr="00A046BC">
        <w:tc>
          <w:tcPr>
            <w:tcW w:w="2977" w:type="dxa"/>
            <w:shd w:val="clear" w:color="auto" w:fill="D9D9D9"/>
            <w:vAlign w:val="center"/>
          </w:tcPr>
          <w:p w14:paraId="52C0CB30" w14:textId="77777777" w:rsidR="00C7213B" w:rsidRPr="003D1360" w:rsidRDefault="00C7213B" w:rsidP="00A046BC">
            <w:pPr>
              <w:shd w:val="clear" w:color="auto" w:fill="D9D9D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Forma způsobu ověření studijních výsledků</w:t>
            </w:r>
          </w:p>
        </w:tc>
        <w:tc>
          <w:tcPr>
            <w:tcW w:w="7024" w:type="dxa"/>
            <w:gridSpan w:val="5"/>
            <w:tcBorders>
              <w:bottom w:val="single" w:sz="4" w:space="0" w:color="auto"/>
            </w:tcBorders>
            <w:vAlign w:val="center"/>
          </w:tcPr>
          <w:p w14:paraId="493FC39C" w14:textId="77777777" w:rsidR="00C7213B" w:rsidRPr="003D1360" w:rsidRDefault="00C7213B" w:rsidP="00A046BC">
            <w:pPr>
              <w:ind w:left="-6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Kurz je zakončen písemným klasifikovaným zápočtem (klauzurní práce spočívající v zadání praktického případu a v jeho následném řešení studentem za využití relevantních právních norem).</w:t>
            </w:r>
          </w:p>
        </w:tc>
      </w:tr>
      <w:tr w:rsidR="00C7213B" w:rsidRPr="003D1360" w14:paraId="5DAB1A10" w14:textId="77777777" w:rsidTr="00A046BC">
        <w:trPr>
          <w:trHeight w:val="510"/>
        </w:trPr>
        <w:tc>
          <w:tcPr>
            <w:tcW w:w="2977" w:type="dxa"/>
            <w:tcBorders>
              <w:top w:val="nil"/>
            </w:tcBorders>
            <w:shd w:val="clear" w:color="auto" w:fill="FDE9D9"/>
            <w:vAlign w:val="center"/>
          </w:tcPr>
          <w:p w14:paraId="68BEF959" w14:textId="77777777" w:rsidR="00C7213B" w:rsidRPr="003D1360" w:rsidRDefault="00C7213B" w:rsidP="00A04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shd w:val="clear" w:color="auto" w:fill="F2F2F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Další požadavky na studenta</w:t>
            </w:r>
          </w:p>
        </w:tc>
        <w:tc>
          <w:tcPr>
            <w:tcW w:w="7024" w:type="dxa"/>
            <w:gridSpan w:val="5"/>
            <w:tcBorders>
              <w:top w:val="nil"/>
            </w:tcBorders>
            <w:shd w:val="clear" w:color="auto" w:fill="FFFFFF"/>
          </w:tcPr>
          <w:p w14:paraId="0170C4F2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Studenti prezenční formy studia mají povinnou účast 75%.</w:t>
            </w:r>
          </w:p>
          <w:p w14:paraId="5E4023D2" w14:textId="77777777" w:rsidR="00C7213B" w:rsidRPr="003D1360" w:rsidRDefault="00C7213B" w:rsidP="00A046B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shd w:val="clear" w:color="auto" w:fill="F2F2F2"/>
              </w:rPr>
            </w:pPr>
          </w:p>
        </w:tc>
      </w:tr>
      <w:tr w:rsidR="00C7213B" w:rsidRPr="003D1360" w14:paraId="08DD1A22" w14:textId="77777777" w:rsidTr="00A046BC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0813B6E6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Garant předmětu (ev. vyučující zodpovědný za předmět)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C5C49" w14:textId="62B1EB93" w:rsidR="00C7213B" w:rsidRPr="003D1360" w:rsidRDefault="003F47E1" w:rsidP="00A046BC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Mgr. Dana Hradcová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>, Ph.D.</w:t>
            </w:r>
          </w:p>
          <w:p w14:paraId="2D4D4858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13B" w:rsidRPr="003D1360" w14:paraId="0E2E7F36" w14:textId="77777777" w:rsidTr="00A046BC">
        <w:trPr>
          <w:trHeight w:val="454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25404CBD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Zapojení garanta do výuky předmětu   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</w:tcBorders>
          </w:tcPr>
          <w:p w14:paraId="2ECCC5F4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20% s.</w:t>
            </w:r>
          </w:p>
          <w:p w14:paraId="00D2EC93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CA6918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13B" w:rsidRPr="003D1360" w14:paraId="2323178C" w14:textId="77777777" w:rsidTr="00A046BC">
        <w:trPr>
          <w:trHeight w:val="271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D2F01E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Vyučující</w:t>
            </w:r>
          </w:p>
        </w:tc>
        <w:tc>
          <w:tcPr>
            <w:tcW w:w="70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527CE6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Mgr. Tomáš Verčimák – 70% s.</w:t>
            </w:r>
          </w:p>
          <w:p w14:paraId="5A8E60C4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Mgr. Markéta Vanclová – 10% s.</w:t>
            </w:r>
          </w:p>
        </w:tc>
      </w:tr>
      <w:tr w:rsidR="00C7213B" w:rsidRPr="003D1360" w14:paraId="57880CC2" w14:textId="77777777" w:rsidTr="00A046BC">
        <w:trPr>
          <w:trHeight w:val="454"/>
        </w:trPr>
        <w:tc>
          <w:tcPr>
            <w:tcW w:w="2977" w:type="dxa"/>
            <w:shd w:val="clear" w:color="auto" w:fill="FDE9D9"/>
            <w:vAlign w:val="center"/>
          </w:tcPr>
          <w:p w14:paraId="144B0F42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Stručná anotace předmětu</w:t>
            </w:r>
          </w:p>
        </w:tc>
        <w:tc>
          <w:tcPr>
            <w:tcW w:w="7024" w:type="dxa"/>
            <w:gridSpan w:val="5"/>
            <w:tcBorders>
              <w:bottom w:val="nil"/>
            </w:tcBorders>
          </w:tcPr>
          <w:p w14:paraId="1E950FB3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13B" w:rsidRPr="003D1360" w14:paraId="221925C4" w14:textId="77777777" w:rsidTr="00A046BC">
        <w:trPr>
          <w:trHeight w:val="567"/>
        </w:trPr>
        <w:tc>
          <w:tcPr>
            <w:tcW w:w="100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95E5A4D" w14:textId="77777777" w:rsidR="00C7213B" w:rsidRPr="003D1360" w:rsidRDefault="00C7213B" w:rsidP="00A046BC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Kurz nabízí přehled ve vybraných tématech souvisejících s poskytováním sociálních služeb (zákonná úprava, právní úprava příspěvku na péči, podmínky poskytování sociálních služeb, specifika smlouvy o poskytnutí sociální služby, mlčenlivost podle zákona o sociálních službách, zákonné vymezení předpokladů pro výkon povolání sociálního pracovníka a pro výkon činnosti v sociálních službách, zmíněna je i problematika nedobrovolná detence v sociálních službách) a s řízením organizace (především s pracovně-právními souvislostmi). V průběhu kurzu studenti přicházejí s vlastními zkušenostmi a sporným situacemi, které jsou v průběhu výuky využívány jako příklady.</w:t>
            </w:r>
          </w:p>
          <w:p w14:paraId="53BAFE0F" w14:textId="77777777" w:rsidR="00C7213B" w:rsidRPr="003D1360" w:rsidRDefault="00C7213B" w:rsidP="00A046BC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7B1673B" w14:textId="77777777" w:rsidR="00C7213B" w:rsidRPr="003D1360" w:rsidRDefault="00C7213B" w:rsidP="00A046BC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Témata výuky:</w:t>
            </w:r>
          </w:p>
          <w:p w14:paraId="7BD21DD8" w14:textId="77777777" w:rsidR="00C7213B" w:rsidRPr="003D1360" w:rsidRDefault="00C7213B" w:rsidP="00C72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Zákon č. 108/2006 Sb., o sociálních službách a prováděcí předpis. Základní pojmy a zásady. </w:t>
            </w:r>
          </w:p>
          <w:p w14:paraId="46CFD863" w14:textId="77777777" w:rsidR="00C7213B" w:rsidRPr="003D1360" w:rsidRDefault="00C7213B" w:rsidP="00C72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Právní úprava příspěvku na péči.</w:t>
            </w:r>
          </w:p>
          <w:p w14:paraId="2EAD1D9D" w14:textId="77777777" w:rsidR="00C7213B" w:rsidRPr="003D1360" w:rsidRDefault="00C7213B" w:rsidP="00C72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Sociální služby a podmínky jejich poskytování (vč. opatření omezujících pohyb).</w:t>
            </w:r>
          </w:p>
          <w:p w14:paraId="4255ED19" w14:textId="77777777" w:rsidR="00C7213B" w:rsidRPr="003D1360" w:rsidRDefault="00C7213B" w:rsidP="00C72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Specifika smlouvy o poskytnutí sociální služby.</w:t>
            </w:r>
          </w:p>
          <w:p w14:paraId="7575A27C" w14:textId="77777777" w:rsidR="00C7213B" w:rsidRPr="003D1360" w:rsidRDefault="00C7213B" w:rsidP="00C72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Mlčenlivost podle zákona o sociálních službách.</w:t>
            </w:r>
          </w:p>
          <w:p w14:paraId="3CE7570C" w14:textId="77777777" w:rsidR="00C7213B" w:rsidRPr="003D1360" w:rsidRDefault="00C7213B" w:rsidP="00C72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Zákonné vymezení předpokladů pro výkon povolání sociálního pracovníka a pro výkon činnosti v sociálních službách.</w:t>
            </w:r>
          </w:p>
          <w:p w14:paraId="120345B2" w14:textId="77777777" w:rsidR="00C7213B" w:rsidRPr="003D1360" w:rsidRDefault="00C7213B" w:rsidP="00C72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Nedobrovolná detence v sociálních službách.</w:t>
            </w:r>
          </w:p>
          <w:p w14:paraId="22958B71" w14:textId="77777777" w:rsidR="00C7213B" w:rsidRPr="003D1360" w:rsidRDefault="00C7213B" w:rsidP="00C72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Problematika pracovního poměru a ukončení pracovního poměru.</w:t>
            </w:r>
          </w:p>
          <w:p w14:paraId="5E13365B" w14:textId="77777777" w:rsidR="00C7213B" w:rsidRPr="003D1360" w:rsidRDefault="00C7213B" w:rsidP="00C72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Odpovědnost zaměstnance a zaměstnavatele.</w:t>
            </w:r>
          </w:p>
        </w:tc>
      </w:tr>
      <w:tr w:rsidR="00C7213B" w:rsidRPr="003D1360" w14:paraId="6F79DF7E" w14:textId="77777777" w:rsidTr="00A046BC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39CA887A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Studijní literatura 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29E2739C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13B" w:rsidRPr="003D1360" w14:paraId="441D0F10" w14:textId="77777777" w:rsidTr="00A046BC">
        <w:trPr>
          <w:trHeight w:val="170"/>
        </w:trPr>
        <w:tc>
          <w:tcPr>
            <w:tcW w:w="10001" w:type="dxa"/>
            <w:gridSpan w:val="6"/>
            <w:tcBorders>
              <w:top w:val="nil"/>
              <w:bottom w:val="single" w:sz="4" w:space="0" w:color="auto"/>
            </w:tcBorders>
          </w:tcPr>
          <w:p w14:paraId="317FCAFA" w14:textId="77777777" w:rsidR="00C7213B" w:rsidRPr="003D1360" w:rsidRDefault="00C7213B" w:rsidP="00A046BC">
            <w:pPr>
              <w:pStyle w:val="NoSpacing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Aktuální znění platných právních předpisů:</w:t>
            </w:r>
          </w:p>
          <w:p w14:paraId="0E9AA95F" w14:textId="77777777" w:rsidR="00C7213B" w:rsidRPr="003D1360" w:rsidRDefault="00C7213B" w:rsidP="00C7213B">
            <w:pPr>
              <w:pStyle w:val="NoSpacing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Zákon o sociálních službách, </w:t>
            </w:r>
          </w:p>
          <w:p w14:paraId="5E605F1A" w14:textId="77777777" w:rsidR="00C7213B" w:rsidRPr="003D1360" w:rsidRDefault="00C7213B" w:rsidP="00C7213B">
            <w:pPr>
              <w:pStyle w:val="NoSpacing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Zákoník práce,</w:t>
            </w:r>
          </w:p>
          <w:p w14:paraId="322D4E20" w14:textId="77777777" w:rsidR="00C7213B" w:rsidRPr="003D1360" w:rsidRDefault="00C7213B" w:rsidP="00C7213B">
            <w:pPr>
              <w:pStyle w:val="NoSpacing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Zákon o zvláštních řízeních soudních.</w:t>
            </w:r>
          </w:p>
          <w:p w14:paraId="0F1AE7C3" w14:textId="77777777" w:rsidR="00C7213B" w:rsidRPr="003D1360" w:rsidRDefault="00C7213B" w:rsidP="00A046BC">
            <w:pPr>
              <w:pStyle w:val="NoSpacing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Doporučujeme např. edici ÚZ nebo webové stránky </w:t>
            </w:r>
            <w:hyperlink r:id="rId5" w:history="1">
              <w:r w:rsidRPr="003D1360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www.zakonyprolidi.cz</w:t>
              </w:r>
            </w:hyperlink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639D7EB" w14:textId="77777777" w:rsidR="00C7213B" w:rsidRPr="003D1360" w:rsidRDefault="00C7213B" w:rsidP="00A046BC">
            <w:pPr>
              <w:pStyle w:val="NoSpacing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ELIÁŠ, K. Občanské právo pro každého: pohledem (nejen) tvůrců nového občanského zákoníku. Praha: Wolters Kluwer ČR, 2013.</w:t>
            </w:r>
          </w:p>
        </w:tc>
      </w:tr>
      <w:tr w:rsidR="00C7213B" w:rsidRPr="003D1360" w14:paraId="53AB39CE" w14:textId="77777777" w:rsidTr="00A046BC">
        <w:trPr>
          <w:trHeight w:val="397"/>
        </w:trPr>
        <w:tc>
          <w:tcPr>
            <w:tcW w:w="100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14:paraId="29D7B799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Informace ke kombinované nebo distanční formě</w:t>
            </w:r>
          </w:p>
        </w:tc>
      </w:tr>
      <w:tr w:rsidR="00C7213B" w:rsidRPr="003D1360" w14:paraId="0023FD2E" w14:textId="77777777" w:rsidTr="00A046BC">
        <w:trPr>
          <w:trHeight w:val="567"/>
        </w:trPr>
        <w:tc>
          <w:tcPr>
            <w:tcW w:w="3619" w:type="dxa"/>
            <w:gridSpan w:val="2"/>
            <w:tcBorders>
              <w:top w:val="single" w:sz="2" w:space="0" w:color="auto"/>
            </w:tcBorders>
            <w:shd w:val="clear" w:color="auto" w:fill="FDE9D9"/>
            <w:vAlign w:val="center"/>
          </w:tcPr>
          <w:p w14:paraId="6AD569C7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auto"/>
            </w:tcBorders>
          </w:tcPr>
          <w:p w14:paraId="1847DE3F" w14:textId="77777777" w:rsidR="00C7213B" w:rsidRPr="003D1360" w:rsidRDefault="00C7213B" w:rsidP="00A046BC">
            <w:pPr>
              <w:pStyle w:val="Footnote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eastAsia="Calibri" w:hAnsi="Times New Roman" w:cs="Times New Roman"/>
                <w:sz w:val="22"/>
                <w:szCs w:val="22"/>
              </w:rPr>
              <w:t>15</w:t>
            </w: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2" w:space="0" w:color="auto"/>
            </w:tcBorders>
            <w:shd w:val="clear" w:color="auto" w:fill="FDE9D9"/>
            <w:vAlign w:val="center"/>
          </w:tcPr>
          <w:p w14:paraId="1825E08B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DE9D9"/>
              </w:rPr>
              <w:t>hodi</w:t>
            </w: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</w:p>
        </w:tc>
      </w:tr>
      <w:tr w:rsidR="00C7213B" w:rsidRPr="003D1360" w14:paraId="67B3033B" w14:textId="77777777" w:rsidTr="00A046BC">
        <w:trPr>
          <w:trHeight w:val="340"/>
        </w:trPr>
        <w:tc>
          <w:tcPr>
            <w:tcW w:w="10001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B48887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D9D9D9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3D136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D9D9D9"/>
              </w:rPr>
              <w:t>Informace o způsobu kontaktu s vyučujícím</w:t>
            </w:r>
          </w:p>
          <w:p w14:paraId="4BE69370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7213B" w:rsidRPr="003D1360" w14:paraId="236C23B2" w14:textId="77777777" w:rsidTr="00A046BC">
        <w:trPr>
          <w:trHeight w:val="487"/>
        </w:trPr>
        <w:tc>
          <w:tcPr>
            <w:tcW w:w="10001" w:type="dxa"/>
            <w:gridSpan w:val="6"/>
            <w:shd w:val="clear" w:color="auto" w:fill="FFFFFF"/>
          </w:tcPr>
          <w:p w14:paraId="598FDC94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E-mailová a skypová komunikace dle potřeb studenta</w:t>
            </w:r>
          </w:p>
          <w:p w14:paraId="7F0DF40D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589234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Studenti mají možnost konzultovat s vyučujícím ve dny výuky předmětu. </w:t>
            </w:r>
          </w:p>
          <w:p w14:paraId="41EDBBEB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4EF6D8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Dále mají možnost využít konzultací:</w:t>
            </w:r>
          </w:p>
          <w:p w14:paraId="68609974" w14:textId="77777777" w:rsidR="00C7213B" w:rsidRPr="003D1360" w:rsidRDefault="00C7213B" w:rsidP="00C721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osobních (termíny jsou určeny na základě dohody studenta a vyučujícího),</w:t>
            </w:r>
          </w:p>
          <w:p w14:paraId="5CEBE0F0" w14:textId="77777777" w:rsidR="00C7213B" w:rsidRPr="003D1360" w:rsidRDefault="00C7213B" w:rsidP="00C721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emailových (kontakt je zveřejněn v Moodlu a také ve všech prezentacích k výuce),</w:t>
            </w:r>
          </w:p>
          <w:p w14:paraId="6021434F" w14:textId="77777777" w:rsidR="00C7213B" w:rsidRPr="003D1360" w:rsidRDefault="00C7213B" w:rsidP="00C721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skypových (termín je určen na základě dohody studenta a vyučujícího).</w:t>
            </w:r>
          </w:p>
          <w:p w14:paraId="77200BA8" w14:textId="77777777" w:rsidR="00C7213B" w:rsidRPr="003D1360" w:rsidRDefault="00C7213B" w:rsidP="00A046B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13B" w:rsidRPr="003D1360" w14:paraId="13D74C52" w14:textId="77777777" w:rsidTr="00A046BC">
        <w:trPr>
          <w:trHeight w:val="340"/>
        </w:trPr>
        <w:tc>
          <w:tcPr>
            <w:tcW w:w="10001" w:type="dxa"/>
            <w:gridSpan w:val="6"/>
            <w:shd w:val="clear" w:color="auto" w:fill="FDE9D9"/>
            <w:vAlign w:val="center"/>
          </w:tcPr>
          <w:p w14:paraId="06A21A4A" w14:textId="77777777" w:rsidR="00C7213B" w:rsidRPr="003D1360" w:rsidRDefault="00C7213B" w:rsidP="00A046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Vzory studijních distančních textů a multimediálních pomůcek</w:t>
            </w:r>
          </w:p>
        </w:tc>
      </w:tr>
      <w:tr w:rsidR="00C7213B" w:rsidRPr="003D1360" w14:paraId="669CF7D1" w14:textId="77777777" w:rsidTr="00A046BC">
        <w:trPr>
          <w:trHeight w:val="503"/>
        </w:trPr>
        <w:tc>
          <w:tcPr>
            <w:tcW w:w="10001" w:type="dxa"/>
            <w:gridSpan w:val="6"/>
          </w:tcPr>
          <w:p w14:paraId="4597AB8C" w14:textId="77777777" w:rsidR="00C7213B" w:rsidRPr="003D1360" w:rsidRDefault="00C7213B" w:rsidP="00A046BC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http://moodle.fhs.cuni.cz/course/index.php?categoryid=14.</w:t>
            </w:r>
          </w:p>
        </w:tc>
      </w:tr>
    </w:tbl>
    <w:p w14:paraId="2EDC0496" w14:textId="77777777" w:rsidR="00C7213B" w:rsidRPr="003D1360" w:rsidRDefault="00C7213B" w:rsidP="00C7213B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9A8CB67" w14:textId="77777777" w:rsidR="00C7213B" w:rsidRPr="003D1360" w:rsidRDefault="00C7213B" w:rsidP="00C7213B">
      <w:pPr>
        <w:rPr>
          <w:rFonts w:ascii="Times New Roman" w:hAnsi="Times New Roman" w:cs="Times New Roman"/>
          <w:sz w:val="22"/>
          <w:szCs w:val="22"/>
        </w:rPr>
      </w:pPr>
      <w:r w:rsidRPr="003D1360">
        <w:rPr>
          <w:rFonts w:ascii="Times New Roman" w:hAnsi="Times New Roman" w:cs="Times New Roman"/>
          <w:sz w:val="22"/>
          <w:szCs w:val="22"/>
        </w:rPr>
        <w:br w:type="page"/>
      </w:r>
    </w:p>
    <w:p w14:paraId="6B90113F" w14:textId="77777777" w:rsidR="00645E04" w:rsidRDefault="00645E04" w:rsidP="00B75CA5">
      <w:pPr>
        <w:spacing w:after="0" w:line="240" w:lineRule="auto"/>
      </w:pPr>
    </w:p>
    <w:sectPr w:rsidR="0064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7A8F"/>
    <w:multiLevelType w:val="hybridMultilevel"/>
    <w:tmpl w:val="14125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38BE"/>
    <w:multiLevelType w:val="hybridMultilevel"/>
    <w:tmpl w:val="13643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9C4"/>
    <w:multiLevelType w:val="hybridMultilevel"/>
    <w:tmpl w:val="A87AF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3B"/>
    <w:rsid w:val="003F47E1"/>
    <w:rsid w:val="00645E04"/>
    <w:rsid w:val="00A1696F"/>
    <w:rsid w:val="00B75CA5"/>
    <w:rsid w:val="00C7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65B9"/>
  <w15:chartTrackingRefBased/>
  <w15:docId w15:val="{B275AD72-B5AD-4AD2-A008-8286433A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213B"/>
    <w:pPr>
      <w:spacing w:after="200" w:line="276" w:lineRule="auto"/>
      <w:jc w:val="both"/>
    </w:pPr>
    <w:rPr>
      <w:rFonts w:eastAsiaTheme="minorEastAsia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13B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C7213B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semiHidden/>
    <w:rsid w:val="00C7213B"/>
    <w:rPr>
      <w:rFonts w:eastAsiaTheme="minorEastAsia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C7213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7213B"/>
    <w:pPr>
      <w:spacing w:after="0" w:line="240" w:lineRule="auto"/>
      <w:jc w:val="both"/>
    </w:pPr>
    <w:rPr>
      <w:rFonts w:eastAsiaTheme="minorEastAsi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zakonyprolidi.c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2737</Characters>
  <Application>Microsoft Macintosh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katedra.rs</dc:creator>
  <cp:keywords/>
  <dc:description/>
  <cp:lastModifiedBy>Dana Hradcová</cp:lastModifiedBy>
  <cp:revision>3</cp:revision>
  <dcterms:created xsi:type="dcterms:W3CDTF">2020-03-25T14:44:00Z</dcterms:created>
  <dcterms:modified xsi:type="dcterms:W3CDTF">2021-01-23T17:23:00Z</dcterms:modified>
</cp:coreProperties>
</file>