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FE" w:rsidRPr="005C14FA" w:rsidRDefault="000A15FE" w:rsidP="000A15FE">
      <w:pPr>
        <w:spacing w:after="0" w:line="360" w:lineRule="auto"/>
        <w:jc w:val="both"/>
        <w:rPr>
          <w:rFonts w:ascii="Times New Roman" w:hAnsi="Times New Roman" w:cs="Times New Roman"/>
          <w:b/>
          <w:sz w:val="24"/>
          <w:lang w:val="es-ES_tradnl"/>
        </w:rPr>
      </w:pPr>
      <w:r w:rsidRPr="005C14FA">
        <w:rPr>
          <w:rFonts w:ascii="Times New Roman" w:hAnsi="Times New Roman" w:cs="Times New Roman"/>
          <w:b/>
          <w:sz w:val="24"/>
          <w:lang w:val="es-ES_tradnl"/>
        </w:rPr>
        <w:t>5 de octubre: Día Mundial de los Docentes</w:t>
      </w:r>
      <w:r>
        <w:rPr>
          <w:rFonts w:ascii="Times New Roman" w:hAnsi="Times New Roman" w:cs="Times New Roman"/>
          <w:b/>
          <w:sz w:val="24"/>
          <w:lang w:val="es-ES_tradnl"/>
        </w:rPr>
        <w:t xml:space="preserve"> 2020</w:t>
      </w:r>
    </w:p>
    <w:p w:rsidR="000A15FE" w:rsidRDefault="000A15FE" w:rsidP="000A15FE">
      <w:pPr>
        <w:spacing w:after="0" w:line="360" w:lineRule="auto"/>
        <w:jc w:val="both"/>
        <w:rPr>
          <w:rFonts w:ascii="Times New Roman" w:hAnsi="Times New Roman" w:cs="Times New Roman"/>
          <w:sz w:val="24"/>
          <w:lang w:val="es-ES_tradnl"/>
        </w:rPr>
      </w:pPr>
    </w:p>
    <w:p w:rsidR="000A15FE" w:rsidRPr="000A15FE" w:rsidRDefault="000A15FE" w:rsidP="000A15FE">
      <w:pPr>
        <w:spacing w:after="0" w:line="360" w:lineRule="auto"/>
        <w:jc w:val="both"/>
        <w:rPr>
          <w:rFonts w:ascii="Times New Roman" w:hAnsi="Times New Roman" w:cs="Times New Roman"/>
          <w:sz w:val="24"/>
          <w:lang w:val="es-ES_tradnl"/>
        </w:rPr>
      </w:pPr>
      <w:r w:rsidRPr="000A15FE">
        <w:rPr>
          <w:rFonts w:ascii="Times New Roman" w:hAnsi="Times New Roman" w:cs="Times New Roman"/>
          <w:sz w:val="24"/>
          <w:lang w:val="es-ES_tradnl"/>
        </w:rPr>
        <w:t xml:space="preserve">En 2020, el Día Mundial de los Docentes rendirá homenaje a los docentes bajo el tema “Docentes: liderar en situaciones de crisis, reinventar el futuro”. Este Día ofrece la oportunidad de honrar la profesión docente en el mundo, hacer un balance de los logros y llamar la atención sobre el papel desempeñado por los docentes, quienes ocupan el centro de los esfuerzos que se llevan a cabo para alcanzar el objetivo mundial de que nadie quede rezagado. </w:t>
      </w:r>
    </w:p>
    <w:p w:rsidR="000A15FE" w:rsidRPr="000A15FE" w:rsidRDefault="000A15FE" w:rsidP="000A15FE">
      <w:pPr>
        <w:spacing w:after="0" w:line="360" w:lineRule="auto"/>
        <w:jc w:val="both"/>
        <w:rPr>
          <w:rFonts w:ascii="Times New Roman" w:hAnsi="Times New Roman" w:cs="Times New Roman"/>
          <w:sz w:val="24"/>
          <w:lang w:val="es-ES_tradnl"/>
        </w:rPr>
      </w:pPr>
    </w:p>
    <w:p w:rsidR="000A15FE" w:rsidRPr="000A15FE" w:rsidRDefault="000A15FE" w:rsidP="000A15FE">
      <w:pPr>
        <w:spacing w:after="0" w:line="360" w:lineRule="auto"/>
        <w:jc w:val="both"/>
        <w:rPr>
          <w:rFonts w:ascii="Times New Roman" w:hAnsi="Times New Roman" w:cs="Times New Roman"/>
          <w:sz w:val="24"/>
          <w:lang w:val="es-ES_tradnl"/>
        </w:rPr>
      </w:pPr>
      <w:r w:rsidRPr="000A15FE">
        <w:rPr>
          <w:rFonts w:ascii="Times New Roman" w:hAnsi="Times New Roman" w:cs="Times New Roman"/>
          <w:sz w:val="24"/>
          <w:lang w:val="es-ES_tradnl"/>
        </w:rPr>
        <w:t>La pandemia de COVID-19 ha aumentado los desafíos ya numerosos a los que hacen frente los sistemas educativos a través de todo el mundo. No se exagera si afirmamos que el mundo se encuentra en una encrucijada, y que ahora más que nunca, debemos trabajar con los docentes para proteger el derecho a la educación y guiarlo en el contexto evolutivo que ha provocado la pandemia.</w:t>
      </w:r>
    </w:p>
    <w:p w:rsidR="000A15FE" w:rsidRPr="000A15FE" w:rsidRDefault="000A15FE" w:rsidP="000A15FE">
      <w:pPr>
        <w:spacing w:after="0" w:line="360" w:lineRule="auto"/>
        <w:jc w:val="both"/>
        <w:rPr>
          <w:rFonts w:ascii="Times New Roman" w:hAnsi="Times New Roman" w:cs="Times New Roman"/>
          <w:sz w:val="24"/>
          <w:lang w:val="es-ES_tradnl"/>
        </w:rPr>
      </w:pPr>
    </w:p>
    <w:p w:rsidR="000A15FE" w:rsidRPr="000A15FE" w:rsidRDefault="000A15FE" w:rsidP="000A15FE">
      <w:pPr>
        <w:spacing w:after="0" w:line="360" w:lineRule="auto"/>
        <w:jc w:val="both"/>
        <w:rPr>
          <w:rFonts w:ascii="Times New Roman" w:hAnsi="Times New Roman" w:cs="Times New Roman"/>
          <w:sz w:val="24"/>
          <w:lang w:val="es-ES_tradnl"/>
        </w:rPr>
      </w:pPr>
      <w:r w:rsidRPr="000A15FE">
        <w:rPr>
          <w:rFonts w:ascii="Times New Roman" w:hAnsi="Times New Roman" w:cs="Times New Roman"/>
          <w:sz w:val="24"/>
          <w:lang w:val="es-ES_tradnl"/>
        </w:rPr>
        <w:t>La cuestión del liderazgo de los docentes con respecto a las respuestas a la crisis no es solo oportuna, sino también esencial en cuanto a las contribuciones que aportan los docentes con miras a proporcionar un aprendizaje a distancia, apoyar a las poblaciones vulnerables, volver a abrir las escuelas y garantizar que puedan atenuarse las brechas en el aprendizaje. Los debates durante el Día Mundial de los Docentes abordarán también el papel de los docentes en el reforzamiento de la resiliencia y la construcción del futuro de la educación y de la profesión docente.</w:t>
      </w: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p>
    <w:p w:rsidR="000A15FE" w:rsidRDefault="000A15FE" w:rsidP="005C14FA">
      <w:pPr>
        <w:spacing w:after="0" w:line="360" w:lineRule="auto"/>
        <w:jc w:val="both"/>
        <w:rPr>
          <w:rFonts w:ascii="Times New Roman" w:hAnsi="Times New Roman" w:cs="Times New Roman"/>
          <w:b/>
          <w:sz w:val="24"/>
          <w:lang w:val="es-ES_tradnl"/>
        </w:rPr>
      </w:pPr>
      <w:bookmarkStart w:id="0" w:name="_GoBack"/>
      <w:bookmarkEnd w:id="0"/>
    </w:p>
    <w:p w:rsidR="000A15FE" w:rsidRDefault="000A15FE" w:rsidP="005C14FA">
      <w:pPr>
        <w:spacing w:after="0" w:line="360" w:lineRule="auto"/>
        <w:jc w:val="both"/>
        <w:rPr>
          <w:rFonts w:ascii="Times New Roman" w:hAnsi="Times New Roman" w:cs="Times New Roman"/>
          <w:b/>
          <w:sz w:val="24"/>
          <w:lang w:val="es-ES_tradnl"/>
        </w:rPr>
      </w:pPr>
    </w:p>
    <w:p w:rsidR="000A15FE" w:rsidRPr="000A15FE" w:rsidRDefault="000A15FE" w:rsidP="005C14FA">
      <w:pPr>
        <w:spacing w:after="0" w:line="360" w:lineRule="auto"/>
        <w:jc w:val="both"/>
        <w:rPr>
          <w:rFonts w:ascii="Times New Roman" w:hAnsi="Times New Roman" w:cs="Times New Roman"/>
          <w:b/>
          <w:color w:val="FF0000"/>
          <w:sz w:val="24"/>
          <w:lang w:val="es-ES_tradnl"/>
        </w:rPr>
      </w:pPr>
      <w:r w:rsidRPr="000A15FE">
        <w:rPr>
          <w:rFonts w:ascii="Times New Roman" w:hAnsi="Times New Roman" w:cs="Times New Roman"/>
          <w:b/>
          <w:color w:val="FF0000"/>
          <w:sz w:val="24"/>
          <w:lang w:val="es-ES_tradnl"/>
        </w:rPr>
        <w:lastRenderedPageBreak/>
        <w:t>SAMOSTUDIUM</w:t>
      </w:r>
    </w:p>
    <w:p w:rsidR="005C14FA" w:rsidRPr="005C14FA" w:rsidRDefault="005C14FA" w:rsidP="005C14FA">
      <w:pPr>
        <w:spacing w:after="0" w:line="360" w:lineRule="auto"/>
        <w:jc w:val="both"/>
        <w:rPr>
          <w:rFonts w:ascii="Times New Roman" w:hAnsi="Times New Roman" w:cs="Times New Roman"/>
          <w:b/>
          <w:sz w:val="24"/>
          <w:lang w:val="es-ES_tradnl"/>
        </w:rPr>
      </w:pPr>
      <w:r w:rsidRPr="005C14FA">
        <w:rPr>
          <w:rFonts w:ascii="Times New Roman" w:hAnsi="Times New Roman" w:cs="Times New Roman"/>
          <w:b/>
          <w:sz w:val="24"/>
          <w:lang w:val="es-ES_tradnl"/>
        </w:rPr>
        <w:t>5 de octubre: Día Mundial de los Docentes</w:t>
      </w:r>
    </w:p>
    <w:p w:rsidR="00521C20" w:rsidRDefault="00521C20" w:rsidP="005C14FA">
      <w:pPr>
        <w:spacing w:after="0" w:line="360" w:lineRule="auto"/>
        <w:jc w:val="both"/>
        <w:rPr>
          <w:rFonts w:ascii="Times New Roman" w:hAnsi="Times New Roman" w:cs="Times New Roman"/>
          <w:sz w:val="24"/>
          <w:lang w:val="es-ES_tradnl"/>
        </w:rPr>
      </w:pPr>
    </w:p>
    <w:p w:rsid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 xml:space="preserve">El Día Mundial de los Docentes es una celebración que tiene lugar de manera anual cada 5 de octubre desde 1994 para reivindicar una educación gratuita, universal y de calidad para todos. </w:t>
      </w:r>
    </w:p>
    <w:p w:rsidR="00521C20" w:rsidRPr="005C14FA" w:rsidRDefault="00521C20"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El día está dedicado a honrar a los maestros y profesores, unos profesionales que deberían contar con una buena formación académica y de valores, además de estar motivados y amparados por las organizaciones para así promover un estado de paz estable. “Enseñar en libertad, empoderar a los docentes” es el lema del Día Mundial de los Docentes 2017, ya que el empoderamiento de los ma</w:t>
      </w:r>
      <w:r>
        <w:rPr>
          <w:rFonts w:ascii="Times New Roman" w:hAnsi="Times New Roman" w:cs="Times New Roman"/>
          <w:sz w:val="24"/>
          <w:lang w:val="es-ES_tradnl"/>
        </w:rPr>
        <w:t>estros y profesores constituye “</w:t>
      </w:r>
      <w:r w:rsidRPr="005C14FA">
        <w:rPr>
          <w:rFonts w:ascii="Times New Roman" w:hAnsi="Times New Roman" w:cs="Times New Roman"/>
          <w:sz w:val="24"/>
          <w:lang w:val="es-ES_tradnl"/>
        </w:rPr>
        <w:t>la prioridad principal entre todas las estrat</w:t>
      </w:r>
      <w:r>
        <w:rPr>
          <w:rFonts w:ascii="Times New Roman" w:hAnsi="Times New Roman" w:cs="Times New Roman"/>
          <w:sz w:val="24"/>
          <w:lang w:val="es-ES_tradnl"/>
        </w:rPr>
        <w:t>egias de desarrollo y educación”</w:t>
      </w:r>
      <w:r w:rsidRPr="005C14FA">
        <w:rPr>
          <w:rFonts w:ascii="Times New Roman" w:hAnsi="Times New Roman" w:cs="Times New Roman"/>
          <w:sz w:val="24"/>
          <w:lang w:val="es-ES_tradnl"/>
        </w:rPr>
        <w:t>.</w:t>
      </w:r>
    </w:p>
    <w:p w:rsidR="00521C20" w:rsidRDefault="00521C20"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Los docentes no solo enseñan conceptos y conocimientos a los niños y jóvenes, sino que también se encargan de dar ejemplo a sus alumnos, dejando en ellos unas pautas de ética y moral que les acompañarán el resto de sus vidas. Los profesores deben, en ocasiones, realizar las funciones que los padres no quieren desempeñar, por ello su función en el mundo es fundamental.</w:t>
      </w:r>
    </w:p>
    <w:p w:rsidR="00521C20" w:rsidRDefault="00521C20"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Su labor es encomiable, aunque el trabajo del docente no es tan sencillo como algunos piensan; es por ello que en el mundo entero se necesitan más maestros y profesores para garantizar la educación universal. De hecho, la UNESCO cree que el planeta necesitará alrededor de 69 millones de docentes para el año 2030. Actualmente existen en el mundo aproximadamente 800 millones de adultos analfabetos, una cifra que continuará en crecimiento si no nos ponemos de lado de los maestros.</w:t>
      </w:r>
    </w:p>
    <w:p w:rsidR="00521C20" w:rsidRDefault="00521C20" w:rsidP="005C14FA">
      <w:pPr>
        <w:spacing w:after="0" w:line="360" w:lineRule="auto"/>
        <w:jc w:val="both"/>
        <w:rPr>
          <w:rFonts w:ascii="Times New Roman" w:hAnsi="Times New Roman" w:cs="Times New Roman"/>
          <w:sz w:val="24"/>
          <w:lang w:val="es-ES_tradnl"/>
        </w:rPr>
      </w:pPr>
    </w:p>
    <w:p w:rsidR="001C203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Este año también se cumple el 20 aniversario de la Recomendación de la UNESCO relativa a la Condición del Personal Docente de Enseñanza Superior</w:t>
      </w:r>
      <w:r w:rsidR="009441FD">
        <w:rPr>
          <w:rFonts w:ascii="Times New Roman" w:hAnsi="Times New Roman" w:cs="Times New Roman"/>
          <w:sz w:val="24"/>
          <w:lang w:val="es-ES_tradnl"/>
        </w:rPr>
        <w:t>*</w:t>
      </w:r>
      <w:r w:rsidRPr="005C14FA">
        <w:rPr>
          <w:rFonts w:ascii="Times New Roman" w:hAnsi="Times New Roman" w:cs="Times New Roman"/>
          <w:sz w:val="24"/>
          <w:lang w:val="es-ES_tradnl"/>
        </w:rPr>
        <w:t xml:space="preserve"> (1997), por lo que se celebrará en París una conferencia internacional a la que asistirán expertos del campo de la educación. La finalidad de esta reunión es plasmar la situación real de los profesores en el mundo, y debatir acerca de la calidad de la educación, la libertad académica y los desafíos a los que deberán enfrentarse los docentes con los años.</w:t>
      </w:r>
    </w:p>
    <w:p w:rsidR="005C14FA" w:rsidRDefault="005C14FA" w:rsidP="005C14FA">
      <w:pPr>
        <w:spacing w:after="0" w:line="360" w:lineRule="auto"/>
        <w:jc w:val="both"/>
        <w:rPr>
          <w:rFonts w:ascii="Times New Roman" w:hAnsi="Times New Roman" w:cs="Times New Roman"/>
          <w:sz w:val="24"/>
          <w:lang w:val="es-ES_tradnl"/>
        </w:rPr>
      </w:pPr>
    </w:p>
    <w:p w:rsidR="005C14FA" w:rsidRDefault="009441FD" w:rsidP="005C14FA">
      <w:pPr>
        <w:spacing w:after="0" w:line="360" w:lineRule="auto"/>
        <w:jc w:val="both"/>
        <w:rPr>
          <w:rFonts w:ascii="Times New Roman" w:hAnsi="Times New Roman" w:cs="Times New Roman"/>
          <w:sz w:val="24"/>
          <w:lang w:val="es-ES_tradnl"/>
        </w:rPr>
      </w:pPr>
      <w:r>
        <w:rPr>
          <w:rFonts w:ascii="Times New Roman" w:hAnsi="Times New Roman" w:cs="Times New Roman"/>
          <w:sz w:val="24"/>
          <w:lang w:val="es-ES_tradnl"/>
        </w:rPr>
        <w:t xml:space="preserve">* </w:t>
      </w:r>
      <w:r w:rsidRPr="009441FD">
        <w:rPr>
          <w:rFonts w:ascii="Times New Roman" w:hAnsi="Times New Roman" w:cs="Times New Roman"/>
          <w:sz w:val="24"/>
          <w:lang w:val="es-ES_tradnl"/>
        </w:rPr>
        <w:t>Doporučení UNESCO a Mezinárodní organizace práce o postavení vysokoškolských učitelů</w:t>
      </w:r>
    </w:p>
    <w:p w:rsidR="005C14FA" w:rsidRDefault="005C14FA" w:rsidP="005C14FA">
      <w:pPr>
        <w:spacing w:after="0" w:line="360" w:lineRule="auto"/>
        <w:jc w:val="both"/>
        <w:rPr>
          <w:rFonts w:ascii="Times New Roman" w:hAnsi="Times New Roman" w:cs="Times New Roman"/>
          <w:sz w:val="24"/>
          <w:lang w:val="es-ES_tradnl"/>
        </w:rPr>
      </w:pPr>
    </w:p>
    <w:p w:rsidR="005C14FA" w:rsidRPr="005C14FA" w:rsidRDefault="00521C20" w:rsidP="005C14FA">
      <w:pPr>
        <w:spacing w:after="0" w:line="360" w:lineRule="auto"/>
        <w:jc w:val="both"/>
        <w:rPr>
          <w:rFonts w:ascii="Times New Roman" w:hAnsi="Times New Roman" w:cs="Times New Roman"/>
          <w:b/>
          <w:sz w:val="24"/>
          <w:lang w:val="es-ES_tradnl"/>
        </w:rPr>
      </w:pPr>
      <w:r>
        <w:rPr>
          <w:rFonts w:ascii="Times New Roman" w:hAnsi="Times New Roman" w:cs="Times New Roman"/>
          <w:b/>
          <w:sz w:val="24"/>
          <w:lang w:val="es-ES_tradnl"/>
        </w:rPr>
        <w:t>A</w:t>
      </w:r>
      <w:r w:rsidR="005C14FA" w:rsidRPr="005C14FA">
        <w:rPr>
          <w:rFonts w:ascii="Times New Roman" w:hAnsi="Times New Roman" w:cs="Times New Roman"/>
          <w:b/>
          <w:sz w:val="24"/>
          <w:lang w:val="es-ES_tradnl"/>
        </w:rPr>
        <w:t>lfabetización</w:t>
      </w:r>
    </w:p>
    <w:p w:rsidR="005C14FA" w:rsidRPr="005C14FA" w:rsidRDefault="005C14FA"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La UNESCO ha estado a la vanguardia de los esfuerzos mundiales de alfabetización desde 1946, al promover la visión de un mundo alfabetizado para todos. La Organización considera la adquisición y el perfeccionamiento de las competencias de lectoescritura a lo largo de toda la vida como parte intrínseca del derecho a la educación. El “efecto multiplicador” de la alfabetización empodera a los pueblos, les permite participar plenamente en la sociedad y contribuye a mejorar la calidad de los medios de subsistencia.</w:t>
      </w:r>
    </w:p>
    <w:p w:rsidR="005C14FA" w:rsidRPr="005C14FA" w:rsidRDefault="005C14FA"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Pr>
          <w:rFonts w:ascii="Times New Roman" w:hAnsi="Times New Roman" w:cs="Times New Roman"/>
          <w:sz w:val="24"/>
          <w:lang w:val="es-ES_tradnl"/>
        </w:rPr>
        <w:t>La alfabetizació</w:t>
      </w:r>
      <w:r w:rsidRPr="005C14FA">
        <w:rPr>
          <w:rFonts w:ascii="Times New Roman" w:hAnsi="Times New Roman" w:cs="Times New Roman"/>
          <w:sz w:val="24"/>
          <w:lang w:val="es-ES_tradnl"/>
        </w:rPr>
        <w:t>n es también una fuerza motriz del desarrollo sostenible ya qu</w:t>
      </w:r>
      <w:r>
        <w:rPr>
          <w:rFonts w:ascii="Times New Roman" w:hAnsi="Times New Roman" w:cs="Times New Roman"/>
          <w:sz w:val="24"/>
          <w:lang w:val="es-ES_tradnl"/>
        </w:rPr>
        <w:t>e permite una mayor participació</w:t>
      </w:r>
      <w:r w:rsidRPr="005C14FA">
        <w:rPr>
          <w:rFonts w:ascii="Times New Roman" w:hAnsi="Times New Roman" w:cs="Times New Roman"/>
          <w:sz w:val="24"/>
          <w:lang w:val="es-ES_tradnl"/>
        </w:rPr>
        <w:t>n de las personas en el mercado laboral, mejora la salud y la alimentación de los niños y de la familia; reduce la pobreza y amplía las oportunidades de desarrollo durante la vida.</w:t>
      </w:r>
    </w:p>
    <w:p w:rsidR="005C14FA" w:rsidRPr="005C14FA" w:rsidRDefault="005C14FA"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Más allá de su concepto convencional como conjunto de competencias de lectura, escritura y cálculo, la alfabetización se entiende hoy día como un medio de identificación, comprensión, interpretación, creación y comunicación en un mundo cada vez más digitalizado, basado en textos, rico en información y en rápida mutación.</w:t>
      </w:r>
    </w:p>
    <w:p w:rsidR="005C14FA" w:rsidRPr="005C14FA" w:rsidRDefault="005C14FA" w:rsidP="005C14FA">
      <w:pPr>
        <w:spacing w:after="0" w:line="360" w:lineRule="auto"/>
        <w:jc w:val="both"/>
        <w:rPr>
          <w:rFonts w:ascii="Times New Roman" w:hAnsi="Times New Roman" w:cs="Times New Roman"/>
          <w:sz w:val="24"/>
          <w:lang w:val="es-ES_tradnl"/>
        </w:rPr>
      </w:pPr>
    </w:p>
    <w:p w:rsidR="005C14FA" w:rsidRPr="005C14FA" w:rsidRDefault="005C14FA" w:rsidP="005C14FA">
      <w:pPr>
        <w:spacing w:after="0" w:line="360" w:lineRule="auto"/>
        <w:jc w:val="both"/>
        <w:rPr>
          <w:rFonts w:ascii="Times New Roman" w:hAnsi="Times New Roman" w:cs="Times New Roman"/>
          <w:sz w:val="24"/>
          <w:lang w:val="es-ES_tradnl"/>
        </w:rPr>
      </w:pPr>
      <w:r w:rsidRPr="005C14FA">
        <w:rPr>
          <w:rFonts w:ascii="Times New Roman" w:hAnsi="Times New Roman" w:cs="Times New Roman"/>
          <w:sz w:val="24"/>
          <w:lang w:val="es-ES_tradnl"/>
        </w:rPr>
        <w:t>A pesar de ello, a escala mundial, al menos 750 millones de jóvenes y adultos no saben aún leer ni escribir y 250 millones de niños no consiguen adquirir las capacidades básicas de cálculo y lectoescritura. Esto acarrea la exclusión de jóvenes y adultos poco instruidos y cualificados que no logran integrarse plenamente a sus comunidades y entornos sociales.</w:t>
      </w:r>
    </w:p>
    <w:sectPr w:rsidR="005C14FA" w:rsidRPr="005C14FA" w:rsidSect="00A828A3">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FA"/>
    <w:rsid w:val="000A15FE"/>
    <w:rsid w:val="001C203A"/>
    <w:rsid w:val="00521C20"/>
    <w:rsid w:val="00534E91"/>
    <w:rsid w:val="00562B56"/>
    <w:rsid w:val="005C14FA"/>
    <w:rsid w:val="009441FD"/>
    <w:rsid w:val="00A828A3"/>
    <w:rsid w:val="00B92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3A61"/>
  <w15:chartTrackingRefBased/>
  <w15:docId w15:val="{9D18E487-AF55-4227-B88F-05520A9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4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6988">
      <w:bodyDiv w:val="1"/>
      <w:marLeft w:val="0"/>
      <w:marRight w:val="0"/>
      <w:marTop w:val="0"/>
      <w:marBottom w:val="0"/>
      <w:divBdr>
        <w:top w:val="none" w:sz="0" w:space="0" w:color="auto"/>
        <w:left w:val="none" w:sz="0" w:space="0" w:color="auto"/>
        <w:bottom w:val="none" w:sz="0" w:space="0" w:color="auto"/>
        <w:right w:val="none" w:sz="0" w:space="0" w:color="auto"/>
      </w:divBdr>
      <w:divsChild>
        <w:div w:id="1646155886">
          <w:marLeft w:val="0"/>
          <w:marRight w:val="0"/>
          <w:marTop w:val="0"/>
          <w:marBottom w:val="0"/>
          <w:divBdr>
            <w:top w:val="none" w:sz="0" w:space="0" w:color="auto"/>
            <w:left w:val="none" w:sz="0" w:space="0" w:color="auto"/>
            <w:bottom w:val="none" w:sz="0" w:space="0" w:color="auto"/>
            <w:right w:val="none" w:sz="0" w:space="0" w:color="auto"/>
          </w:divBdr>
          <w:divsChild>
            <w:div w:id="1413510268">
              <w:marLeft w:val="0"/>
              <w:marRight w:val="0"/>
              <w:marTop w:val="90"/>
              <w:marBottom w:val="0"/>
              <w:divBdr>
                <w:top w:val="none" w:sz="0" w:space="0" w:color="auto"/>
                <w:left w:val="none" w:sz="0" w:space="0" w:color="auto"/>
                <w:bottom w:val="none" w:sz="0" w:space="0" w:color="auto"/>
                <w:right w:val="none" w:sz="0" w:space="0" w:color="auto"/>
              </w:divBdr>
            </w:div>
            <w:div w:id="1808888909">
              <w:marLeft w:val="0"/>
              <w:marRight w:val="0"/>
              <w:marTop w:val="160"/>
              <w:marBottom w:val="0"/>
              <w:divBdr>
                <w:top w:val="none" w:sz="0" w:space="0" w:color="auto"/>
                <w:left w:val="none" w:sz="0" w:space="0" w:color="auto"/>
                <w:bottom w:val="none" w:sz="0" w:space="0" w:color="auto"/>
                <w:right w:val="none" w:sz="0" w:space="0" w:color="auto"/>
              </w:divBdr>
            </w:div>
            <w:div w:id="1421634907">
              <w:marLeft w:val="-300"/>
              <w:marRight w:val="-300"/>
              <w:marTop w:val="315"/>
              <w:marBottom w:val="0"/>
              <w:divBdr>
                <w:top w:val="none" w:sz="0" w:space="0" w:color="auto"/>
                <w:left w:val="none" w:sz="0" w:space="0" w:color="auto"/>
                <w:bottom w:val="none" w:sz="0" w:space="0" w:color="auto"/>
                <w:right w:val="none" w:sz="0" w:space="0" w:color="auto"/>
              </w:divBdr>
            </w:div>
            <w:div w:id="1653942547">
              <w:marLeft w:val="0"/>
              <w:marRight w:val="0"/>
              <w:marTop w:val="150"/>
              <w:marBottom w:val="0"/>
              <w:divBdr>
                <w:top w:val="none" w:sz="0" w:space="0" w:color="auto"/>
                <w:left w:val="none" w:sz="0" w:space="0" w:color="auto"/>
                <w:bottom w:val="none" w:sz="0" w:space="0" w:color="auto"/>
                <w:right w:val="none" w:sz="0" w:space="0" w:color="auto"/>
              </w:divBdr>
            </w:div>
            <w:div w:id="1551724628">
              <w:marLeft w:val="-420"/>
              <w:marRight w:val="-420"/>
              <w:marTop w:val="225"/>
              <w:marBottom w:val="0"/>
              <w:divBdr>
                <w:top w:val="single" w:sz="6" w:space="11" w:color="F0F0F0"/>
                <w:left w:val="none" w:sz="0" w:space="21" w:color="auto"/>
                <w:bottom w:val="none" w:sz="0" w:space="0" w:color="auto"/>
                <w:right w:val="none" w:sz="0" w:space="21" w:color="auto"/>
              </w:divBdr>
              <w:divsChild>
                <w:div w:id="1160077678">
                  <w:marLeft w:val="150"/>
                  <w:marRight w:val="0"/>
                  <w:marTop w:val="0"/>
                  <w:marBottom w:val="0"/>
                  <w:divBdr>
                    <w:top w:val="none" w:sz="0" w:space="0" w:color="auto"/>
                    <w:left w:val="none" w:sz="0" w:space="0" w:color="auto"/>
                    <w:bottom w:val="none" w:sz="0" w:space="0" w:color="auto"/>
                    <w:right w:val="none" w:sz="0" w:space="0" w:color="auto"/>
                  </w:divBdr>
                  <w:divsChild>
                    <w:div w:id="486171350">
                      <w:marLeft w:val="0"/>
                      <w:marRight w:val="0"/>
                      <w:marTop w:val="0"/>
                      <w:marBottom w:val="0"/>
                      <w:divBdr>
                        <w:top w:val="none" w:sz="0" w:space="0" w:color="auto"/>
                        <w:left w:val="none" w:sz="0" w:space="0" w:color="auto"/>
                        <w:bottom w:val="none" w:sz="0" w:space="0" w:color="auto"/>
                        <w:right w:val="none" w:sz="0" w:space="0" w:color="auto"/>
                      </w:divBdr>
                      <w:divsChild>
                        <w:div w:id="13666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6206">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747</Words>
  <Characters>4410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Vavroušová</dc:creator>
  <cp:keywords/>
  <dc:description/>
  <cp:lastModifiedBy>PMV</cp:lastModifiedBy>
  <cp:revision>6</cp:revision>
  <dcterms:created xsi:type="dcterms:W3CDTF">2017-11-02T21:50:00Z</dcterms:created>
  <dcterms:modified xsi:type="dcterms:W3CDTF">2020-12-22T16:57:00Z</dcterms:modified>
</cp:coreProperties>
</file>