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i w:val="1"/>
          <w:sz w:val="54"/>
          <w:szCs w:val="54"/>
        </w:rPr>
      </w:pPr>
      <w:r w:rsidDel="00000000" w:rsidR="00000000" w:rsidRPr="00000000">
        <w:rPr>
          <w:b w:val="1"/>
          <w:i w:val="1"/>
          <w:sz w:val="54"/>
          <w:szCs w:val="54"/>
          <w:rtl w:val="0"/>
        </w:rPr>
        <w:t xml:space="preserve">Liesbeth Korthals Altes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before="480" w:lineRule="auto"/>
        <w:rPr>
          <w:sz w:val="30"/>
          <w:szCs w:val="30"/>
        </w:rPr>
      </w:pPr>
      <w:bookmarkStart w:colFirst="0" w:colLast="0" w:name="_kul8ychlagx5" w:id="0"/>
      <w:bookmarkEnd w:id="0"/>
      <w:r w:rsidDel="00000000" w:rsidR="00000000" w:rsidRPr="00000000">
        <w:rPr>
          <w:sz w:val="30"/>
          <w:szCs w:val="30"/>
          <w:rtl w:val="0"/>
        </w:rPr>
        <w:t xml:space="preserve">Prof.dr. E.J. (Liesbeth) Korthals Altes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/>
        <w:drawing>
          <wp:inline distB="114300" distT="114300" distL="114300" distR="114300">
            <wp:extent cx="3019093" cy="187316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19093" cy="18731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ujqfvxfgd7" w:id="1"/>
      <w:bookmarkEnd w:id="1"/>
      <w:hyperlink r:id="rId7">
        <w:r w:rsidDel="00000000" w:rsidR="00000000" w:rsidRPr="00000000">
          <w:rPr>
            <w:b w:val="1"/>
            <w:sz w:val="34"/>
            <w:szCs w:val="34"/>
            <w:rtl w:val="0"/>
          </w:rPr>
          <w:t xml:space="preserve">Ethos and Narrative Interpretation: The Negotiation of Values in Fiction (Frontiers of Narrative</w:t>
        </w:r>
      </w:hyperlink>
      <w:r w:rsidDel="00000000" w:rsidR="00000000" w:rsidRPr="00000000">
        <w:rPr>
          <w:b w:val="1"/>
          <w:sz w:val="34"/>
          <w:szCs w:val="34"/>
          <w:rtl w:val="0"/>
        </w:rPr>
        <w:t xml:space="preserve">)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oigj19xoby84" w:id="2"/>
      <w:bookmarkEnd w:id="2"/>
      <w:hyperlink r:id="rId8">
        <w:r w:rsidDel="00000000" w:rsidR="00000000" w:rsidRPr="00000000">
          <w:rPr>
            <w:b w:val="1"/>
            <w:sz w:val="34"/>
            <w:szCs w:val="34"/>
            <w:rtl w:val="0"/>
          </w:rPr>
          <w:t xml:space="preserve">Le Salut Par La Fiction?Sens, valeurs et narrativite dans Le Roi des Aulnes de Michel Tournier. (Faux Titre 64)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lineRule="auto"/>
        <w:rPr/>
      </w:pPr>
      <w:bookmarkStart w:colFirst="0" w:colLast="0" w:name="_usyip0hxsu07" w:id="3"/>
      <w:bookmarkEnd w:id="3"/>
      <w:hyperlink r:id="rId9">
        <w:r w:rsidDel="00000000" w:rsidR="00000000" w:rsidRPr="00000000">
          <w:rPr>
            <w:b w:val="1"/>
            <w:sz w:val="34"/>
            <w:szCs w:val="34"/>
            <w:rtl w:val="0"/>
          </w:rPr>
          <w:t xml:space="preserve">The New Georgics: Rural and Regional Motifs in the Contemporary European Novel (European Studies 18)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“17 works in 79 publications in 3 languages and 1,880 library holdings” -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https://www.worldcat.org/identities/lccn-no00092922/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Kniha se zaměřuje na studenty a vědce, kteří se zajímají o pohledy na literaturu.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Otázky: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Proč se obtěžujeme s literárními texty a jejich autory? Jak literární texty a jejich autoři zajišťují svůj význam ve světě internetu a televize?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Za jakých podmínek by čtenáři přikládali důležitost Ethosu postavy nebo vypravěče, či spíše autorově?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Jaký aspekt autorství by měli na mysli?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Jak by různá připisování Ethosu ovlivnila interpretaci a hodnocení díla?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Jak něčí klasifikace žánru textu a autorův Ethos (upřímný, ironický, autoritativní) ovlivní interpretaci a hodnocení knihy, kterou člověk čte?</w:t>
      </w:r>
    </w:p>
    <w:p w:rsidR="00000000" w:rsidDel="00000000" w:rsidP="00000000" w:rsidRDefault="00000000" w:rsidRPr="00000000" w14:paraId="00000013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  <w:t xml:space="preserve">Cíle: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Zohlednit různorodost připisování Ethosu čtenářů, která je často přehlížena, ale je často doložena ideologicky, či eticky kontroverzními pracemi.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Doufá, že přispěje k odhalování stop Ethosu v literárních příbězích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Hlavním cílem je navrhnout rekonstrukci sociálně zakódovaných cest, kterými tlumočníci (včetně autora) hodnotí Ethos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Zostřit citlivost tlumočníka na vodítka používaná k prokázání upřímnosti, spolehlivosti nebo autority narativních hlasů a autorů.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worldcat.org/identities/lccn-no00092922/" TargetMode="External"/><Relationship Id="rId9" Type="http://schemas.openxmlformats.org/officeDocument/2006/relationships/hyperlink" Target="https://www.amazon.com/New-Georgics-Regional-Contemporary-European/dp/9042012706/ref=sr_1_1?dchild=1&amp;qid=1607886469&amp;refinements=p_27%3ALiesbeth+Korthals+Altes&amp;s=books&amp;sr=1-1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amazon.com/Ethos-Narrative-Interpretation-Negotiation-Frontiers-ebook/dp/B00KNG86N4/ref=sr_1_1?dchild=1&amp;qid=1607886469&amp;refinements=p_27%3ALiesbeth+Korthals+Altes&amp;s=books&amp;sr=1-1-catcorr" TargetMode="External"/><Relationship Id="rId8" Type="http://schemas.openxmlformats.org/officeDocument/2006/relationships/hyperlink" Target="https://www.amazon.com/Fiction-valeurs-narrativite-Aulnes-Tournier/dp/9051834276/ref=sr_1_2?dchild=1&amp;qid=1607886469&amp;refinements=p_27%3ALiesbeth+Korthals+Altes&amp;s=books&amp;sr=1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