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AE" w:rsidRPr="008F37AE" w:rsidRDefault="008F37AE" w:rsidP="008F37AE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A2471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b/>
          <w:bCs/>
          <w:color w:val="1A2471"/>
          <w:sz w:val="20"/>
          <w:szCs w:val="20"/>
          <w:lang w:eastAsia="cs-CZ"/>
        </w:rPr>
        <w:t>Biologický věk</w:t>
      </w:r>
    </w:p>
    <w:p w:rsidR="008F37AE" w:rsidRPr="008F37AE" w:rsidRDefault="008F37AE" w:rsidP="008F37AE">
      <w:pPr>
        <w:spacing w:before="33" w:after="33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Biologický (skutečný) věk většiny lidí se od kalendářního liší.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U dospělých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osob se zralou kostrou, chrupem a plně vyvinutými dalšími orgány, se odhaduje </w:t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reálný věk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velmi složitým způsobem (M. F.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Roizen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a E. A.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Stephensonová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2000). Počítá se po vyplnění rozsáhlého dotazníku s otázkami na zdraví, dietu, pohybovou aktivitu, návyky, práci atd. Každý si jej může spočítat na internetu: </w:t>
      </w:r>
      <w:hyperlink r:id="rId4" w:tgtFrame="_blank" w:tooltip="přejít na stránku RealAge.com | odkaz do nového okna" w:history="1">
        <w:r w:rsidRPr="008F37AE">
          <w:rPr>
            <w:rFonts w:ascii="Verdana" w:eastAsia="Times New Roman" w:hAnsi="Verdana" w:cs="Times New Roman"/>
            <w:color w:val="1A2471"/>
            <w:sz w:val="20"/>
            <w:szCs w:val="20"/>
            <w:u w:val="single"/>
            <w:lang w:eastAsia="cs-CZ"/>
          </w:rPr>
          <w:t>www.RealAge.com</w:t>
        </w:r>
      </w:hyperlink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. Osoby zdravější, racionálně se stravující, pohyblivější, neholdující tabáku a alkoholu atd., s normální koncentrací cholesterolu v krvi, a jejichž rodiče také byli zdravější, se řadí mezi mladší. Graficky jsou tyto vztahy znázorněny v grafu.</w:t>
      </w:r>
    </w:p>
    <w:p w:rsidR="008F37AE" w:rsidRPr="008F37AE" w:rsidRDefault="008F37AE" w:rsidP="008F37AE">
      <w:pPr>
        <w:spacing w:after="133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noProof/>
          <w:color w:val="1A2471"/>
          <w:sz w:val="20"/>
          <w:szCs w:val="20"/>
          <w:lang w:eastAsia="cs-CZ"/>
        </w:rPr>
        <w:drawing>
          <wp:inline distT="0" distB="0" distL="0" distR="0">
            <wp:extent cx="2652183" cy="1642219"/>
            <wp:effectExtent l="19050" t="0" r="0" b="0"/>
            <wp:docPr id="1" name="obrázek 1" descr="Změna reálného věku vlivem způsobu života (Roizen a Stephensonová &#10;  2000).">
              <a:hlinkClick xmlns:a="http://schemas.openxmlformats.org/drawingml/2006/main" r:id="rId5" tooltip="&quot;Změna reálného věku vlivem způsobu života (Roizen a Stephensonová &#10;  2000)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ěna reálného věku vlivem způsobu života (Roizen a Stephensonová &#10;  2000).">
                      <a:hlinkClick r:id="rId5" tooltip="&quot;Změna reálného věku vlivem způsobu života (Roizen a Stephensonová &#10;  2000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19" cy="164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Obr. 19.05-01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Změna reálného věku vlivem způsobu života (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Roizen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a 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Stephensonová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2000). 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U rostoucích dětí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má znalost biologického věku význam pro hodnocení a předpovídání jejich vývoje (výšky), zatížitelnosti v tréninku </w:t>
      </w:r>
      <w:proofErr w:type="gram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atd..</w:t>
      </w:r>
      <w:proofErr w:type="gram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Biologický věk je zajímavý pro rodiče, pediatry i trenéry. Umožňuje odhadnout dobu nejrychlejšího rozvoje, dobu ukončení růstu a období optimálních dispozic pro nejlepší osobní sportovní výkony apod. Je zajímavý pro pediatry (vývojová retardace a akcelerace), ortopedy či stomatology (načasování korekční operace délky kosti či dolní čelisti). </w:t>
      </w:r>
    </w:p>
    <w:p w:rsidR="008F37AE" w:rsidRPr="008F37AE" w:rsidRDefault="008F37AE" w:rsidP="008F37AE">
      <w:pPr>
        <w:spacing w:before="33" w:after="33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Existují různě dostupné, různě invazivní a různě přesné metody. Asi platí, že za přesnost se platí určitým zásahem do organismu.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Velice jednoduchou orientační pomůckou zjištění biologického věku u děvčat s kalendářním věkem 11-15 let časový údaj o prvních měsíčcích – </w:t>
      </w:r>
      <w:proofErr w:type="spellStart"/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menarché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. Průměrný věk při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menarché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je u děvčat v naší republice kolem 13,1 roků.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Spíše duševně než tělesně zatěžující, a lékaři použitelnou metodou, je posouzení zrání </w:t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sexuálních znaků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. U chlapců se posuzuje rozvoj penisu a  varlat, u děvčat prsů a u obou pohlaví pubické ochlupení.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Pro stomatology, příp. jiné zkušené pozorovatele, je dostupná metoda hodnocení prořezávání zubů – </w:t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dentice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. Tato metoda je limitována dobou ukončení vývoje chrupu.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Další, i pro trenéry zajímavou metodou, je stanovení tzv. </w:t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 xml:space="preserve">proporcionálního věku. 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Je založen na vztahu rozvoje tělesných proporcí (výška, váha, obvody, šířky) k určitému věku. Rozvoj tělesných proporcí je vyjádřen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Brauerovým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(1982) indexem vývoje stavby těla (KEI –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Kőrperbauentwicklungsindex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).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Jeho použití je opět limitováno: Není vhodný pro více let vrcholově trénující sportovce (reprezentace sportovní gymnastiky) a pro postpubertální osoby (asi nad 14 let). Jisté zkušenosti s aplikací přinášíme v přiložené prezentaci přednášky na odborném zasedání (</w:t>
      </w:r>
      <w:proofErr w:type="spellStart"/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Antropo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.ppd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).  </w:t>
      </w:r>
    </w:p>
    <w:p w:rsidR="008F37AE" w:rsidRPr="008F37AE" w:rsidRDefault="008F37AE" w:rsidP="008F37AE">
      <w:pPr>
        <w:spacing w:after="133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noProof/>
          <w:color w:val="333333"/>
          <w:sz w:val="20"/>
          <w:szCs w:val="20"/>
          <w:lang w:eastAsia="cs-CZ"/>
        </w:rPr>
        <w:lastRenderedPageBreak/>
        <w:drawing>
          <wp:inline distT="0" distB="0" distL="0" distR="0">
            <wp:extent cx="3324404" cy="1697567"/>
            <wp:effectExtent l="19050" t="0" r="9346" b="0"/>
            <wp:docPr id="2" name="obrázek 2" descr="Vztah mezi věkem a indexem stavby těla KEI (Novotný 2002 podle Riegerové a Ulbrichové 1998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ztah mezi věkem a indexem stavby těla KEI (Novotný 2002 podle Riegerové a Ulbrichové 1998)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52" cy="169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Obr. 19.05-02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Vztah mezi věkem a indexem stavby těla KEI (Novotný 2002 podle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Riegerové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a 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Ulbrichové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1998). </w:t>
      </w:r>
    </w:p>
    <w:p w:rsidR="008F37AE" w:rsidRPr="008F37AE" w:rsidRDefault="008F37AE" w:rsidP="008F37AE">
      <w:pPr>
        <w:spacing w:after="133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noProof/>
          <w:color w:val="333333"/>
          <w:sz w:val="20"/>
          <w:szCs w:val="20"/>
          <w:lang w:eastAsia="cs-CZ"/>
        </w:rPr>
        <w:drawing>
          <wp:inline distT="0" distB="0" distL="0" distR="0">
            <wp:extent cx="2602922" cy="1951567"/>
            <wp:effectExtent l="19050" t="0" r="6928" b="0"/>
            <wp:docPr id="3" name="obrázek 3" descr="Výpočet indexu stavby těla KEI (Novotný 2002 podle Brauer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počet indexu stavby těla KEI (Novotný 2002 podle Brauera)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83" cy="195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Obr. 19.05-03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Výpočet indexu stavby těla KEI (Novotný 2002 podle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Brauera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). 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Nejpřesnější (za cenu Roentgenova ozáření kostry) metodou používanou je posuzování zralosti kostry – </w:t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tzv. kostní věk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. Je plně oprávněna v klinické antropologii při diagnostice poruch růstu dětí.</w:t>
      </w:r>
    </w:p>
    <w:p w:rsidR="008F37AE" w:rsidRPr="008F37AE" w:rsidRDefault="008F37AE" w:rsidP="008F37AE">
      <w:pPr>
        <w:spacing w:before="33" w:after="33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Její využití ve sportu je diskutabilní, ze zdravotního hlediska neoprávněné. Nepovažuji za rozumné ji používat u všech sportovců při výběru do sportovních center, pro reprezentaci apod. Pouze v případech sporných, značně nejistých, kdy byly vyčerpány jiné neinvazivní metody a jejich kombinace („proporcionální věk“, genetická dispozice k výšce, dentice), by mohlo být použito hodnocení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rtg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snímku ruky. Při snímkování větších kloubů nebo více kloubů je spojeno s větší radiační zátěží (kolena, kyčle, ramena, lokty). Nemám námitek proti hodnocení zralosti kostí, které byly snímkovány z  jiných medicínských důvodů, např. pro diagnostiku traumatických změn při úraze.</w:t>
      </w:r>
    </w:p>
    <w:p w:rsidR="008F37AE" w:rsidRPr="008F37AE" w:rsidRDefault="008F37AE" w:rsidP="008F37AE">
      <w:pPr>
        <w:spacing w:before="33" w:after="33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Pro hodnocení zralosti různých kostí existují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schématické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pomůcky. Jedna z nejlepších (Schmidt a 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Halden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1949) byla publikována v CIBA-GEIGY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Scientific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Tables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(1990). </w:t>
      </w:r>
    </w:p>
    <w:p w:rsidR="008F37AE" w:rsidRPr="008F37AE" w:rsidRDefault="008F37AE" w:rsidP="008F37AE">
      <w:pPr>
        <w:spacing w:before="33" w:after="33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Podstatně přesnější je nalezení standardního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rtg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obrazu kosti v určitém věku v atlase (např.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Kapalínův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), který nejvíce odpovídá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rtg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snínku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kosti dotyčného jedince. Metoda vyžaduje pečlivé srovnávání detailů kostí zkušeným odborníkem  – přítomnost, velikost a tvar osifikujících kostí, velikost a přítomnost růstových štěrbin. 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Matematicky složitější (při použití počítače docela praktickou) celosvětově uznávanou metodu zavedli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Tanner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a 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Whitehouse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 – postupně TW1, TW2 a TW3 (2001). Při ní je nutno pořídit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rtg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snímek levé ruky s mírně roztaženými prsty v předozadní projekci ze 76 cm (30 in), centrovaný na 3.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metakarp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. </w:t>
      </w:r>
    </w:p>
    <w:p w:rsidR="008F37AE" w:rsidRPr="008F37AE" w:rsidRDefault="008F37AE" w:rsidP="008F37AE">
      <w:pPr>
        <w:spacing w:after="0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Poznámka: U osob, které více zatěžují levou ruku, bych doporučoval, aby byla snímkována ruka pravá – nedominantní. Více zatěžovaná ruka je zralejší  – starší).</w:t>
      </w:r>
    </w:p>
    <w:p w:rsidR="008F37AE" w:rsidRPr="008F37AE" w:rsidRDefault="008F37AE" w:rsidP="008F37AE">
      <w:pPr>
        <w:spacing w:before="33" w:after="33" w:line="240" w:lineRule="auto"/>
        <w:ind w:firstLine="2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Porovnáním se slovním popisem i obrazem kosti standardního věku (v atlase) se určují vývojová stádia a pak přiřadí číselné skóre u 20 kostí ruky a zápěstí (TW3). Součet skóre se společně s koeficientem závisejícím na kalendářním věku se vloží do vzorečku pro výpočet tří kostních věků: společný kostní věk pro všech 20 kostí, zvlášť kostní věk pro kosti záprstí a prstů („RUS“ =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radius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+ ulna +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short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bones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) a zvlášť pro kosti zápěstí („CARPUS“).</w:t>
      </w:r>
    </w:p>
    <w:p w:rsidR="008F37AE" w:rsidRPr="008F37AE" w:rsidRDefault="008F37AE" w:rsidP="008F37AE">
      <w:pPr>
        <w:spacing w:after="133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8F37AE">
        <w:rPr>
          <w:rFonts w:ascii="Verdana" w:eastAsia="Times New Roman" w:hAnsi="Verdana" w:cs="Times New Roman"/>
          <w:noProof/>
          <w:color w:val="333333"/>
          <w:sz w:val="20"/>
          <w:szCs w:val="20"/>
          <w:lang w:eastAsia="cs-CZ"/>
        </w:rPr>
        <w:lastRenderedPageBreak/>
        <w:drawing>
          <wp:inline distT="0" distB="0" distL="0" distR="0">
            <wp:extent cx="1627717" cy="2104245"/>
            <wp:effectExtent l="19050" t="0" r="0" b="0"/>
            <wp:docPr id="4" name="obrázek 4" descr="VSchematický nákres kostry levé ruky a zápěstí – kosti, &lt;br /&gt;&#10;  u nichž se posuzuje zrání metodou TW3 (Tanner a kol. 200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Schematický nákres kostry levé ruky a zápěstí – kosti, &lt;br /&gt;&#10;  u nichž se posuzuje zrání metodou TW3 (Tanner a kol. 2001)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65" cy="210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</w:r>
      <w:r w:rsidRPr="008F37AE">
        <w:rPr>
          <w:rFonts w:ascii="Verdana" w:eastAsia="Times New Roman" w:hAnsi="Verdana" w:cs="Times New Roman"/>
          <w:i/>
          <w:iCs/>
          <w:color w:val="0A5599"/>
          <w:sz w:val="20"/>
          <w:szCs w:val="20"/>
          <w:lang w:eastAsia="cs-CZ"/>
        </w:rPr>
        <w:t>Obr. 19.05-04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Schematický nákres kostry levé ruky a zápěstí – kosti, </w:t>
      </w:r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  <w:t>u nichž se posuzuje zrání metodou TW3 (</w:t>
      </w:r>
      <w:proofErr w:type="spellStart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Tanner</w:t>
      </w:r>
      <w:proofErr w:type="spellEnd"/>
      <w:r w:rsidRPr="008F37AE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a kol. 2001). </w:t>
      </w:r>
    </w:p>
    <w:p w:rsidR="00D37323" w:rsidRPr="008F37AE" w:rsidRDefault="00D37323">
      <w:pPr>
        <w:rPr>
          <w:sz w:val="20"/>
          <w:szCs w:val="20"/>
        </w:rPr>
      </w:pPr>
    </w:p>
    <w:sectPr w:rsidR="00D37323" w:rsidRPr="008F37AE" w:rsidSect="00D3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F37AE"/>
    <w:rsid w:val="008F37AE"/>
    <w:rsid w:val="00D3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323"/>
  </w:style>
  <w:style w:type="paragraph" w:styleId="Nadpis2">
    <w:name w:val="heading 2"/>
    <w:basedOn w:val="Normln"/>
    <w:link w:val="Nadpis2Char"/>
    <w:uiPriority w:val="9"/>
    <w:qFormat/>
    <w:rsid w:val="008F3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37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F37A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F37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1980">
          <w:marLeft w:val="-10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056">
          <w:marLeft w:val="-10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0">
          <w:marLeft w:val="-10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530">
          <w:marLeft w:val="-10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s.muni.cz/do/fsps/e-learning/kapitolysportmed/pics/19-05-01big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alage.com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2018-02-21T15:56:00Z</dcterms:created>
  <dcterms:modified xsi:type="dcterms:W3CDTF">2018-02-21T15:59:00Z</dcterms:modified>
</cp:coreProperties>
</file>