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A1" w:rsidRPr="00D76E65" w:rsidRDefault="008D4AA1" w:rsidP="00D76E65">
      <w:pPr>
        <w:pStyle w:val="spip"/>
        <w:spacing w:before="120" w:beforeAutospacing="0" w:after="120" w:afterAutospacing="0"/>
        <w:jc w:val="center"/>
        <w:rPr>
          <w:rFonts w:ascii="Georgia" w:hAnsi="Georgia"/>
          <w:color w:val="000000"/>
        </w:rPr>
      </w:pPr>
      <w:r w:rsidRPr="00D76E65">
        <w:rPr>
          <w:rStyle w:val="Siln"/>
          <w:rFonts w:ascii="Georgia" w:hAnsi="Georgia"/>
          <w:color w:val="000000"/>
        </w:rPr>
        <w:t>ETICKÝ KODEX TLUMOČNÍKA A PŘEKLADATELE</w:t>
      </w:r>
    </w:p>
    <w:p w:rsidR="00D76E65" w:rsidRPr="00D76E65" w:rsidRDefault="00D76E65" w:rsidP="00D76E65">
      <w:pPr>
        <w:pStyle w:val="spip"/>
        <w:spacing w:before="120" w:beforeAutospacing="0" w:after="120" w:afterAutospacing="0"/>
        <w:jc w:val="both"/>
        <w:rPr>
          <w:rStyle w:val="Siln"/>
          <w:rFonts w:ascii="Georgia" w:hAnsi="Georgia"/>
          <w:color w:val="000000"/>
        </w:rPr>
      </w:pP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Style w:val="Siln"/>
          <w:rFonts w:ascii="Georgia" w:hAnsi="Georgia"/>
          <w:color w:val="000000"/>
        </w:rPr>
        <w:t>§1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Fonts w:ascii="Georgia" w:hAnsi="Georgia"/>
          <w:color w:val="000000"/>
        </w:rPr>
        <w:t>Ve smyslu tohoto etického kodexu je profesionální tlumočník osoba, která za úplatu převádí nezaměnitelnými prostředky smysl výpovědi mluvčího z výchozího jazyka do jazyka cílového. Výsledek tvůrčí práce tlumočníka je novou hodnotou, která má povahu duševního vlastnictví.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Style w:val="Siln"/>
          <w:rFonts w:ascii="Georgia" w:hAnsi="Georgia"/>
          <w:color w:val="000000"/>
        </w:rPr>
        <w:t>§2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Fonts w:ascii="Georgia" w:hAnsi="Georgia"/>
          <w:color w:val="000000"/>
        </w:rPr>
        <w:t>Ve smyslu tohoto etického kodexu je profesionální překladatel osoba, která za úplatu převádí nezaměnitelnými prostředky smysl písemné výpovědi mluvčího z výchozího jazyka do jazyka cílového v písemné podobě. Výsledek tvůrčí práce překladatele je novou hodnotou, která má povahu duševního vlastnictví.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Style w:val="Siln"/>
          <w:rFonts w:ascii="Georgia" w:hAnsi="Georgia"/>
          <w:color w:val="000000"/>
        </w:rPr>
        <w:t>§3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Fonts w:ascii="Georgia" w:hAnsi="Georgia"/>
          <w:color w:val="000000"/>
        </w:rPr>
        <w:t>Tlumočník a překladatel je vždy a v plné míře vázán služebním tajemstvím, které nesmí vyzradit nikomu a které se týká všeho, co se tlumočník a překladatel dozví při své činnosti u neveřejných jednání a překladů.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Style w:val="Siln"/>
          <w:rFonts w:ascii="Georgia" w:hAnsi="Georgia"/>
          <w:color w:val="000000"/>
        </w:rPr>
        <w:t>§4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Fonts w:ascii="Georgia" w:hAnsi="Georgia"/>
          <w:color w:val="000000"/>
        </w:rPr>
        <w:t>Tlumočník a překladatel důvěrné informace nikdy nezneužívá.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Style w:val="Siln"/>
          <w:rFonts w:ascii="Georgia" w:hAnsi="Georgia"/>
          <w:color w:val="000000"/>
        </w:rPr>
        <w:t>§5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Fonts w:ascii="Georgia" w:hAnsi="Georgia"/>
          <w:color w:val="000000"/>
        </w:rPr>
        <w:t>Tlumočník a překladatel zásadně přijímá pouze ty závazky, které odpovídají jeho schopnostem a přípravě. Za výsledek své práce nese plnou morální odpovědnost.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Style w:val="Siln"/>
          <w:rFonts w:ascii="Georgia" w:hAnsi="Georgia"/>
          <w:color w:val="000000"/>
        </w:rPr>
        <w:t>§6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Fonts w:ascii="Georgia" w:hAnsi="Georgia"/>
          <w:color w:val="000000"/>
        </w:rPr>
        <w:t>Tlumočník a překladatel odmítne vykonávat takovou činnost a zdrží se takového jednání, které by mohly poškodit důstojnost jeho povolání.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Style w:val="Siln"/>
          <w:rFonts w:ascii="Georgia" w:hAnsi="Georgia"/>
          <w:color w:val="000000"/>
        </w:rPr>
        <w:t>§7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Fonts w:ascii="Georgia" w:hAnsi="Georgia"/>
          <w:color w:val="000000"/>
        </w:rPr>
        <w:t>Tlumočník a překladatel zásadně projevuje solidaritu se svými kolegy.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Style w:val="Siln"/>
          <w:rFonts w:ascii="Georgia" w:hAnsi="Georgia"/>
          <w:color w:val="000000"/>
        </w:rPr>
        <w:t>§8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Fonts w:ascii="Georgia" w:hAnsi="Georgia"/>
          <w:color w:val="000000"/>
        </w:rPr>
        <w:t>Tlumočník a překladatel zprostředkuje jinému tlumočníkovi nebo překladateli tlumočení nebo překlad vždy bezplatně.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Style w:val="Siln"/>
          <w:rFonts w:ascii="Georgia" w:hAnsi="Georgia"/>
          <w:color w:val="000000"/>
        </w:rPr>
        <w:t>§9</w:t>
      </w:r>
    </w:p>
    <w:p w:rsidR="008D4AA1" w:rsidRPr="00D76E65" w:rsidRDefault="008D4AA1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  <w:r w:rsidRPr="00D76E65">
        <w:rPr>
          <w:rFonts w:ascii="Georgia" w:hAnsi="Georgia"/>
          <w:color w:val="000000"/>
        </w:rPr>
        <w:t>Výkon povolání nezkracuje tlumočníka a překladatele na jeho osobních lidských a občanských právech a nesmí být na újmu jeho důstojnosti.</w:t>
      </w:r>
    </w:p>
    <w:p w:rsidR="00D76E65" w:rsidRPr="00D76E65" w:rsidRDefault="00D76E65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</w:p>
    <w:p w:rsidR="00D76E65" w:rsidRPr="00D76E65" w:rsidRDefault="00D76E65" w:rsidP="00D76E65">
      <w:pPr>
        <w:pStyle w:val="Zhlav"/>
        <w:spacing w:before="120" w:after="120"/>
        <w:rPr>
          <w:rFonts w:ascii="Georgia" w:hAnsi="Georgia"/>
          <w:sz w:val="24"/>
          <w:szCs w:val="24"/>
        </w:rPr>
      </w:pPr>
      <w:hyperlink r:id="rId7" w:history="1">
        <w:r w:rsidRPr="00D76E65">
          <w:rPr>
            <w:rStyle w:val="Hypertextovodkaz"/>
            <w:rFonts w:ascii="Georgia" w:hAnsi="Georgia"/>
            <w:sz w:val="24"/>
            <w:szCs w:val="24"/>
          </w:rPr>
          <w:t>http://www.jtpunion.org/spip/article.php3?id_article=260</w:t>
        </w:r>
      </w:hyperlink>
      <w:r w:rsidRPr="00D76E65">
        <w:rPr>
          <w:rFonts w:ascii="Georgia" w:hAnsi="Georgia"/>
          <w:sz w:val="24"/>
          <w:szCs w:val="24"/>
        </w:rPr>
        <w:t xml:space="preserve"> </w:t>
      </w:r>
    </w:p>
    <w:p w:rsidR="00D76E65" w:rsidRPr="00D76E65" w:rsidRDefault="00D76E65" w:rsidP="00D76E65">
      <w:pPr>
        <w:pStyle w:val="spip"/>
        <w:spacing w:before="120" w:beforeAutospacing="0" w:after="120" w:afterAutospacing="0"/>
        <w:jc w:val="both"/>
        <w:rPr>
          <w:rFonts w:ascii="Georgia" w:hAnsi="Georgia"/>
          <w:color w:val="000000"/>
        </w:rPr>
      </w:pPr>
    </w:p>
    <w:p w:rsidR="00AA01C5" w:rsidRPr="00D76E65" w:rsidRDefault="00AA01C5" w:rsidP="00D76E65">
      <w:pPr>
        <w:spacing w:before="120" w:after="120" w:line="240" w:lineRule="auto"/>
        <w:rPr>
          <w:rFonts w:ascii="Georgia" w:hAnsi="Georgia"/>
          <w:sz w:val="24"/>
          <w:szCs w:val="24"/>
        </w:rPr>
      </w:pPr>
    </w:p>
    <w:p w:rsidR="00D76E65" w:rsidRPr="00D76E65" w:rsidRDefault="00D76E65" w:rsidP="00D76E65">
      <w:pPr>
        <w:spacing w:before="120" w:after="120" w:line="240" w:lineRule="auto"/>
        <w:rPr>
          <w:rFonts w:ascii="Georgia" w:hAnsi="Georgia"/>
          <w:sz w:val="24"/>
          <w:szCs w:val="24"/>
        </w:rPr>
      </w:pPr>
    </w:p>
    <w:p w:rsidR="00D76E65" w:rsidRPr="00D76E65" w:rsidRDefault="00D76E65" w:rsidP="00D76E65">
      <w:pPr>
        <w:shd w:val="clear" w:color="auto" w:fill="FFFFFF"/>
        <w:spacing w:before="120" w:after="120" w:line="240" w:lineRule="auto"/>
        <w:outlineLvl w:val="0"/>
        <w:rPr>
          <w:rFonts w:ascii="Georgia" w:eastAsia="Times New Roman" w:hAnsi="Georgia" w:cs="Arial"/>
          <w:color w:val="191B1C"/>
          <w:kern w:val="36"/>
          <w:sz w:val="24"/>
          <w:szCs w:val="24"/>
          <w:lang w:eastAsia="cs-CZ"/>
        </w:rPr>
      </w:pPr>
    </w:p>
    <w:p w:rsidR="00D76E65" w:rsidRPr="00D76E65" w:rsidRDefault="00D76E65" w:rsidP="00D76E65">
      <w:pPr>
        <w:shd w:val="clear" w:color="auto" w:fill="FFFFFF"/>
        <w:spacing w:before="120" w:after="120" w:line="240" w:lineRule="auto"/>
        <w:outlineLvl w:val="0"/>
        <w:rPr>
          <w:rFonts w:ascii="Georgia" w:eastAsia="Times New Roman" w:hAnsi="Georgia" w:cs="Arial"/>
          <w:color w:val="191B1C"/>
          <w:kern w:val="36"/>
          <w:sz w:val="24"/>
          <w:szCs w:val="24"/>
          <w:lang w:eastAsia="cs-CZ"/>
        </w:rPr>
      </w:pPr>
    </w:p>
    <w:p w:rsidR="00D76E65" w:rsidRPr="00D76E65" w:rsidRDefault="00D76E65" w:rsidP="00D76E65">
      <w:pPr>
        <w:shd w:val="clear" w:color="auto" w:fill="FFFFFF"/>
        <w:spacing w:before="120" w:after="120" w:line="240" w:lineRule="auto"/>
        <w:outlineLvl w:val="0"/>
        <w:rPr>
          <w:rFonts w:ascii="Georgia" w:eastAsia="Times New Roman" w:hAnsi="Georgia" w:cs="Arial"/>
          <w:color w:val="191B1C"/>
          <w:kern w:val="36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b/>
          <w:color w:val="191B1C"/>
          <w:kern w:val="36"/>
          <w:sz w:val="24"/>
          <w:szCs w:val="24"/>
          <w:lang w:eastAsia="cs-CZ"/>
        </w:rPr>
        <w:lastRenderedPageBreak/>
        <w:t>Etické zásady tlumočníka</w:t>
      </w:r>
    </w:p>
    <w:p w:rsidR="00D76E65" w:rsidRPr="00D76E65" w:rsidRDefault="00D76E65" w:rsidP="00D76E65">
      <w:pPr>
        <w:spacing w:before="120" w:after="120" w:line="240" w:lineRule="auto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i/>
          <w:iCs/>
          <w:color w:val="191B1C"/>
          <w:sz w:val="24"/>
          <w:szCs w:val="24"/>
          <w:shd w:val="clear" w:color="auto" w:fill="FFFFFF"/>
          <w:lang w:eastAsia="cs-CZ"/>
        </w:rPr>
        <w:t>Nejdůležitější zásady profesní etiky</w:t>
      </w:r>
    </w:p>
    <w:p w:rsidR="00D76E65" w:rsidRPr="00D76E65" w:rsidRDefault="00D76E65" w:rsidP="00D76E65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Členství ASKOT zavazuje k profesionálním stavovským postojům na národní i mezinárodní úrovni (ve smyslu postupného přejímání závazků a nároků nejvyššího evropského standardu).</w:t>
      </w:r>
    </w:p>
    <w:p w:rsidR="00D76E65" w:rsidRPr="00D76E65" w:rsidRDefault="00D76E65" w:rsidP="00D76E65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Člen ASKOT ručí morálně za svůj optimální výkon ve smyslu stanov Asociace. Proto se na každou akci svědomitě připraví, a to jak z podkladů poskytnutých organizátorem, tak i z jiných dostupných materiálů.</w:t>
      </w:r>
    </w:p>
    <w:p w:rsidR="00D76E65" w:rsidRPr="00D76E65" w:rsidRDefault="00D76E65" w:rsidP="00D76E6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Člen ASKOT nepřijme práci, kterou by nemohl provést kvalitně.</w:t>
      </w:r>
    </w:p>
    <w:p w:rsidR="00D76E65" w:rsidRPr="00D76E65" w:rsidRDefault="00D76E65" w:rsidP="00D76E6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Člen ASKOT nepřijme další pracovní závazky v rámci jedné pracovní doby.</w:t>
      </w:r>
    </w:p>
    <w:p w:rsidR="00D76E65" w:rsidRPr="00D76E65" w:rsidRDefault="00D76E65" w:rsidP="00D76E6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Člen ASKOT je povinen zachovávat naprostou mlčenlivost o neveřejných informacích, s nimiž se seznámí při výkonu svého povolání. Žádnou takovou informaci nikdy nezneužije.</w:t>
      </w:r>
    </w:p>
    <w:p w:rsidR="00D76E65" w:rsidRPr="00D76E65" w:rsidRDefault="00D76E65" w:rsidP="00D76E6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Člen ASKOT je povinen vyžadovat od organizátora splnění pracovních a technických podmínek, které jsou nezbytné pro profesionální úroveň jeho práce.</w:t>
      </w:r>
    </w:p>
    <w:p w:rsidR="00D76E65" w:rsidRPr="00D76E65" w:rsidRDefault="00D76E65" w:rsidP="00D76E6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Člen ASKOT zprostředkuje práci jinému členovi ASKOT vždy bezúplatně.</w:t>
      </w:r>
    </w:p>
    <w:p w:rsidR="00D76E65" w:rsidRPr="00D76E65" w:rsidRDefault="00D76E65" w:rsidP="00D76E6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Člen ASKOT není povinen vykonávat činnost, která by poškodila důstojnost tlumočnického povolání a zásadně projevuje solidaritu se svými kolegy.</w:t>
      </w:r>
    </w:p>
    <w:p w:rsidR="00D76E65" w:rsidRPr="00D76E65" w:rsidRDefault="00D76E65" w:rsidP="00D76E65">
      <w:pPr>
        <w:shd w:val="clear" w:color="auto" w:fill="FFFFFF"/>
        <w:spacing w:before="120" w:after="120" w:line="240" w:lineRule="auto"/>
        <w:outlineLvl w:val="0"/>
        <w:rPr>
          <w:rFonts w:ascii="Georgia" w:eastAsia="Times New Roman" w:hAnsi="Georgia" w:cs="Arial"/>
          <w:color w:val="191B1C"/>
          <w:kern w:val="36"/>
          <w:sz w:val="24"/>
          <w:szCs w:val="24"/>
          <w:lang w:eastAsia="cs-CZ"/>
        </w:rPr>
      </w:pPr>
      <w:hyperlink r:id="rId8" w:history="1">
        <w:r w:rsidRPr="00D76E65">
          <w:rPr>
            <w:rStyle w:val="Hypertextovodkaz"/>
            <w:rFonts w:ascii="Georgia" w:eastAsia="Times New Roman" w:hAnsi="Georgia" w:cs="Arial"/>
            <w:kern w:val="36"/>
            <w:sz w:val="24"/>
            <w:szCs w:val="24"/>
            <w:lang w:eastAsia="cs-CZ"/>
          </w:rPr>
          <w:t>http://www.askot.cz/cz/eticke-zasady/</w:t>
        </w:r>
      </w:hyperlink>
    </w:p>
    <w:p w:rsidR="00D76E65" w:rsidRPr="00D76E65" w:rsidRDefault="00D76E65" w:rsidP="00D76E65">
      <w:pPr>
        <w:spacing w:before="120" w:after="120" w:line="240" w:lineRule="auto"/>
        <w:rPr>
          <w:rFonts w:ascii="Georgia" w:hAnsi="Georgia"/>
          <w:sz w:val="24"/>
          <w:szCs w:val="24"/>
        </w:rPr>
      </w:pPr>
    </w:p>
    <w:p w:rsidR="00D76E65" w:rsidRPr="00D76E65" w:rsidRDefault="00D76E65" w:rsidP="00D76E65">
      <w:pPr>
        <w:shd w:val="clear" w:color="auto" w:fill="FFFFFF"/>
        <w:spacing w:before="120" w:after="120" w:line="240" w:lineRule="auto"/>
        <w:outlineLvl w:val="0"/>
        <w:rPr>
          <w:rFonts w:ascii="Georgia" w:eastAsia="Times New Roman" w:hAnsi="Georgia" w:cs="Arial"/>
          <w:b/>
          <w:color w:val="191B1C"/>
          <w:kern w:val="36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b/>
          <w:color w:val="191B1C"/>
          <w:kern w:val="36"/>
          <w:sz w:val="24"/>
          <w:szCs w:val="24"/>
          <w:lang w:eastAsia="cs-CZ"/>
        </w:rPr>
        <w:t>Pracovní podmínky tlumočníka</w:t>
      </w:r>
    </w:p>
    <w:p w:rsidR="00D76E65" w:rsidRPr="00D76E65" w:rsidRDefault="00D76E65" w:rsidP="00D76E6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 xml:space="preserve">Pracovní den tlumočníka čítá osm hodin včetně přestávek; u krátkých akcí typu oficiálního přijetí, tiskové konference, krátké prezentace apod., účtuje tlumočník 50% </w:t>
      </w:r>
      <w:proofErr w:type="gramStart"/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denního</w:t>
      </w:r>
      <w:proofErr w:type="gramEnd"/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 xml:space="preserve"> honoráře. V případě konference nebo semináře v trvání 4 hodin, např. od 9 do 13 hodin, jež svým časovým rozpětím a nutnou přípravou váže tlumočníka fakticky na celý den, je doporučeno účtovat tři čtvrtiny denního honoráře. Tím se také vytváří určitá rezerva pro případ mírného překročení čtyřhodinového rámce.</w:t>
      </w:r>
    </w:p>
    <w:p w:rsidR="00D76E65" w:rsidRPr="00D76E65" w:rsidRDefault="00D76E65" w:rsidP="00D76E6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 xml:space="preserve">Pracuje-li tlumočník mimo své bydliště, má právo si účtovat celý pracovní </w:t>
      </w:r>
      <w:proofErr w:type="gramStart"/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den i když</w:t>
      </w:r>
      <w:proofErr w:type="gramEnd"/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 xml:space="preserve"> tlumočí dobu kratší.</w:t>
      </w:r>
    </w:p>
    <w:p w:rsidR="00D76E65" w:rsidRPr="00D76E65" w:rsidRDefault="00D76E65" w:rsidP="00D76E6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Koná-li se několikadenní akce mimo bydliště tlumočníka, zajistí mu pořadatel ubytování v jednolůžkovém pokoji s příslušenstvím.</w:t>
      </w:r>
    </w:p>
    <w:p w:rsidR="00D76E65" w:rsidRPr="00D76E65" w:rsidRDefault="00D76E65" w:rsidP="00D76E6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Pokud pořadatel nedopraví tlumočníka na místo akce mimo jeho bydliště sám, hradí mu výdaje na dopravu.</w:t>
      </w:r>
    </w:p>
    <w:p w:rsidR="00D76E65" w:rsidRPr="00D76E65" w:rsidRDefault="00D76E65" w:rsidP="00D76E6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Musí-li se tlumočník dopravit na akci dříve než v den jejího zahájení, má právo od zákazníka požadovat náhradu za čas, strávený na cestě. Totéž platí po ukončení akce.</w:t>
      </w:r>
    </w:p>
    <w:p w:rsidR="00D76E65" w:rsidRPr="00D76E65" w:rsidRDefault="00D76E65" w:rsidP="00D76E6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Tlumočník je povinen se na akci připravit, proto od organizátora požaduje včasné dodání konferenčních či tematicky obdobných materiálů.</w:t>
      </w:r>
    </w:p>
    <w:p w:rsidR="00D76E65" w:rsidRPr="00D76E65" w:rsidRDefault="00D76E65" w:rsidP="00D76E6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Tlumočník vyžaduje od organizátora splnění podmínek, které jsou nezbytné pro jeho profesionální výkon: </w:t>
      </w: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br/>
        <w:t>1. kvalitní a nerušený poslech </w:t>
      </w: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br/>
      </w: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lastRenderedPageBreak/>
        <w:t>2. přímý výhled na řečníka a promítací plochy (monitor nenahrazuje přímý výhled) </w:t>
      </w: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br/>
        <w:t>3. ergonomicky vhodné pracovní prostředí </w:t>
      </w: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br/>
        <w:t>4. organizátor zajistí pro tlumočníka dostatečné množství tekutin. </w:t>
      </w: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br/>
        <w:t>5. V případě, že tlumočník při konsekutivním tlumočení pracuje sám, má nárok na krátké přestávky.</w:t>
      </w:r>
    </w:p>
    <w:p w:rsidR="00D76E65" w:rsidRPr="00D76E65" w:rsidRDefault="00D76E65" w:rsidP="00D76E6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Tlumočník má právo odmítnout pracovat v prostředí nepřijatelném z fyzických, psychických nebo morálně etických důvodů (krematorium, jatka) a v podmínkách nedůstojných pro výkon profese, pokud se k tomu smluvně nezavázal.</w:t>
      </w:r>
    </w:p>
    <w:p w:rsidR="00D76E65" w:rsidRPr="00D76E65" w:rsidRDefault="00D76E65" w:rsidP="00D76E6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Odřekne-li objednavatel činnost tlumočníka pro dobu dohodnutou ve smlouvě a za podmínek v ní uvedených, musí uhradit tlumočníkovi dohodnutý honorář a dále všechny prokazatelně vzniklé náklady.</w:t>
      </w:r>
    </w:p>
    <w:p w:rsidR="00D76E65" w:rsidRPr="00D76E65" w:rsidRDefault="00D76E65" w:rsidP="00D76E6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Tlumočník nemá právo odstoupit od smlouvy z jiných než zákonných důvodů; po dohodě s objednavatelem za sebe může zajistit adekvátní náhradu.</w:t>
      </w:r>
    </w:p>
    <w:p w:rsidR="00D76E65" w:rsidRDefault="00D76E65" w:rsidP="00D76E6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r w:rsidRPr="00D76E65"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>Tlumočníkův výkon je vyjádřen mluveným slovem a je určen výhradně k okamžitému poslechu. Jeho záznam bez předchozího smluvního souhlasu autora je nepřípustný. Objednavatel nese plnou odpovědnost za pořizování záznamů třetími osobami.</w:t>
      </w:r>
    </w:p>
    <w:p w:rsidR="00D76E65" w:rsidRPr="00D76E65" w:rsidRDefault="00D76E65" w:rsidP="00D76E65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color w:val="191B1C"/>
          <w:sz w:val="24"/>
          <w:szCs w:val="24"/>
          <w:lang w:eastAsia="cs-CZ"/>
        </w:rPr>
      </w:pPr>
      <w:hyperlink r:id="rId9" w:history="1">
        <w:r w:rsidRPr="00C52ADD">
          <w:rPr>
            <w:rStyle w:val="Hypertextovodkaz"/>
            <w:rFonts w:ascii="Georgia" w:eastAsia="Times New Roman" w:hAnsi="Georgia" w:cs="Arial"/>
            <w:sz w:val="24"/>
            <w:szCs w:val="24"/>
            <w:lang w:eastAsia="cs-CZ"/>
          </w:rPr>
          <w:t>http://www.askot.cz/cz/pracovni-podminky/</w:t>
        </w:r>
      </w:hyperlink>
      <w:r>
        <w:rPr>
          <w:rFonts w:ascii="Georgia" w:eastAsia="Times New Roman" w:hAnsi="Georgia" w:cs="Arial"/>
          <w:color w:val="191B1C"/>
          <w:sz w:val="24"/>
          <w:szCs w:val="24"/>
          <w:lang w:eastAsia="cs-CZ"/>
        </w:rPr>
        <w:t xml:space="preserve"> </w:t>
      </w:r>
    </w:p>
    <w:p w:rsidR="00D76E65" w:rsidRDefault="00D76E65" w:rsidP="00D76E65">
      <w:pPr>
        <w:spacing w:before="120" w:after="120" w:line="240" w:lineRule="auto"/>
        <w:rPr>
          <w:rFonts w:ascii="Georgia" w:hAnsi="Georgia"/>
          <w:sz w:val="24"/>
          <w:szCs w:val="24"/>
        </w:rPr>
      </w:pPr>
    </w:p>
    <w:p w:rsidR="00D76E65" w:rsidRPr="00D76E65" w:rsidRDefault="00D76E65" w:rsidP="00D76E65">
      <w:pPr>
        <w:spacing w:before="120" w:after="120" w:line="240" w:lineRule="auto"/>
        <w:rPr>
          <w:rFonts w:ascii="Georgia" w:hAnsi="Georgia"/>
          <w:sz w:val="24"/>
          <w:szCs w:val="24"/>
        </w:rPr>
      </w:pPr>
    </w:p>
    <w:p w:rsidR="00D76E65" w:rsidRDefault="00D76E65" w:rsidP="00D76E65">
      <w:pPr>
        <w:pStyle w:val="Nadpis1"/>
        <w:shd w:val="clear" w:color="auto" w:fill="FFFFFF"/>
        <w:spacing w:before="120" w:beforeAutospacing="0" w:after="120" w:afterAutospacing="0"/>
        <w:rPr>
          <w:rFonts w:ascii="Georgia" w:hAnsi="Georgia" w:cs="Arial"/>
          <w:bCs w:val="0"/>
          <w:color w:val="191B1C"/>
          <w:sz w:val="24"/>
          <w:szCs w:val="24"/>
        </w:rPr>
      </w:pPr>
      <w:r w:rsidRPr="00D76E65">
        <w:rPr>
          <w:rFonts w:ascii="Georgia" w:hAnsi="Georgia" w:cs="Arial"/>
          <w:bCs w:val="0"/>
          <w:color w:val="191B1C"/>
          <w:sz w:val="24"/>
          <w:szCs w:val="24"/>
        </w:rPr>
        <w:t>Technické podmínky pro tlumočení</w:t>
      </w:r>
    </w:p>
    <w:p w:rsidR="00D76E65" w:rsidRPr="00D76E65" w:rsidRDefault="00D76E65" w:rsidP="00D76E65">
      <w:pPr>
        <w:pStyle w:val="Normlnweb"/>
        <w:shd w:val="clear" w:color="auto" w:fill="FFFFFF"/>
        <w:spacing w:before="120" w:beforeAutospacing="0" w:after="120" w:afterAutospacing="0"/>
        <w:rPr>
          <w:rFonts w:ascii="Georgia" w:hAnsi="Georgia" w:cs="Arial"/>
          <w:color w:val="191B1C"/>
        </w:rPr>
      </w:pPr>
      <w:hyperlink r:id="rId10" w:anchor="simultanni" w:history="1">
        <w:r w:rsidRPr="00D76E65">
          <w:rPr>
            <w:rFonts w:ascii="Georgia" w:hAnsi="Georgia"/>
            <w:color w:val="191B1C"/>
          </w:rPr>
          <w:t>Simultánní (konferenční, kabinové) tlumočení</w:t>
        </w:r>
      </w:hyperlink>
      <w:r w:rsidRPr="00D76E65">
        <w:rPr>
          <w:rFonts w:ascii="Georgia" w:hAnsi="Georgia"/>
        </w:rPr>
        <w:t> </w:t>
      </w:r>
      <w:r w:rsidRPr="00D76E65">
        <w:rPr>
          <w:rFonts w:ascii="Georgia" w:hAnsi="Georgia" w:cs="Arial"/>
          <w:color w:val="191B1C"/>
        </w:rPr>
        <w:t>využívá k přenosu sdělení mezi účastníky jednání specifické technické zařízení.</w:t>
      </w:r>
    </w:p>
    <w:p w:rsidR="00D76E65" w:rsidRPr="00D76E65" w:rsidRDefault="00D76E65" w:rsidP="00D76E65">
      <w:pPr>
        <w:pStyle w:val="Normlnweb"/>
        <w:shd w:val="clear" w:color="auto" w:fill="FFFFFF"/>
        <w:spacing w:before="120" w:beforeAutospacing="0" w:after="120" w:afterAutospacing="0"/>
        <w:rPr>
          <w:rFonts w:ascii="Georgia" w:hAnsi="Georgia" w:cs="Arial"/>
          <w:color w:val="191B1C"/>
        </w:rPr>
      </w:pPr>
      <w:r w:rsidRPr="00D76E65">
        <w:rPr>
          <w:rFonts w:ascii="Georgia" w:hAnsi="Georgia" w:cs="Arial"/>
          <w:color w:val="191B1C"/>
        </w:rPr>
        <w:t>Toto dnes bývá součástí vybavení prostor určených ke konání konferencí, seminářů a podobně, nebo je možno si je i se servisem pronajmout u specializovaných společností působících v oblasti konferenční techniky, které pro danou příležitost tuto techniku poskytnou, instalují a zajistí její obsluhu. </w:t>
      </w:r>
      <w:r w:rsidRPr="00D76E65">
        <w:rPr>
          <w:rFonts w:ascii="Georgia" w:hAnsi="Georgia" w:cs="Arial"/>
          <w:color w:val="191B1C"/>
        </w:rPr>
        <w:br/>
      </w:r>
      <w:r w:rsidRPr="00D76E65">
        <w:rPr>
          <w:rFonts w:ascii="Georgia" w:hAnsi="Georgia" w:cs="Arial"/>
          <w:color w:val="191B1C"/>
        </w:rPr>
        <w:br/>
        <w:t>Díky tomuto technickému zařízení tlumočníci hovoří v podstatě souběžně s řečníkem, pouze s menším odstupem nutným pro dokonalé porozumění obsahu sdělení.</w:t>
      </w:r>
      <w:r w:rsidRPr="00D76E65">
        <w:rPr>
          <w:rFonts w:ascii="Georgia" w:hAnsi="Georgia"/>
        </w:rPr>
        <w:t> </w:t>
      </w:r>
      <w:r w:rsidRPr="00D76E65">
        <w:rPr>
          <w:rFonts w:ascii="Georgia" w:hAnsi="Georgia" w:cs="Arial"/>
          <w:color w:val="191B1C"/>
        </w:rPr>
        <w:br/>
      </w:r>
      <w:r w:rsidRPr="00D76E65">
        <w:rPr>
          <w:rFonts w:ascii="Georgia" w:hAnsi="Georgia" w:cs="Arial"/>
          <w:color w:val="191B1C"/>
        </w:rPr>
        <w:br/>
        <w:t>Simultánní tlumočení je tedy sice časově méně náročné než</w:t>
      </w:r>
      <w:r w:rsidRPr="00D76E65">
        <w:rPr>
          <w:rFonts w:ascii="Georgia" w:hAnsi="Georgia"/>
        </w:rPr>
        <w:t> </w:t>
      </w:r>
      <w:hyperlink r:id="rId11" w:anchor="konsekutivni" w:history="1">
        <w:r w:rsidRPr="00D76E65">
          <w:rPr>
            <w:rFonts w:ascii="Georgia" w:hAnsi="Georgia"/>
            <w:color w:val="191B1C"/>
          </w:rPr>
          <w:t>tlumočení konsekutivní</w:t>
        </w:r>
      </w:hyperlink>
      <w:r w:rsidRPr="00D76E65">
        <w:rPr>
          <w:rFonts w:ascii="Georgia" w:hAnsi="Georgia"/>
        </w:rPr>
        <w:t> </w:t>
      </w:r>
      <w:r w:rsidRPr="00D76E65">
        <w:rPr>
          <w:rFonts w:ascii="Georgia" w:hAnsi="Georgia" w:cs="Arial"/>
          <w:color w:val="191B1C"/>
        </w:rPr>
        <w:t>- ovšem vyžaduje kromě zmíněného kvalitního technického zařízení i určité pracovní podmínky pro tlumočnický tým. V kabinách určených pro simultánní tlumočení pracují tlumočníci minimálně ve dvou, a pro každý jazyk navíc, který je při akci používán, musí být počítáno s oddělenou kabinou - proto je nutno zajistit pro instalaci tlumočnických kabin vhodný a dostatečný prostor.</w:t>
      </w:r>
      <w:r w:rsidRPr="00D76E65">
        <w:rPr>
          <w:rStyle w:val="apple-converted-space"/>
          <w:rFonts w:ascii="Georgia" w:hAnsi="Georgia" w:cs="Arial"/>
          <w:color w:val="191B1C"/>
        </w:rPr>
        <w:t> </w:t>
      </w:r>
      <w:r w:rsidRPr="00D76E65">
        <w:rPr>
          <w:rFonts w:ascii="Georgia" w:hAnsi="Georgia" w:cs="Arial"/>
          <w:color w:val="191B1C"/>
        </w:rPr>
        <w:br/>
      </w:r>
      <w:r w:rsidRPr="00D76E65">
        <w:rPr>
          <w:rFonts w:ascii="Georgia" w:hAnsi="Georgia" w:cs="Arial"/>
          <w:color w:val="191B1C"/>
        </w:rPr>
        <w:br/>
        <w:t>Tyto podmínky, stejně jako kritéria požadovaná pro tlumočnickou techniku, jsou předmětem normy</w:t>
      </w:r>
      <w:r w:rsidRPr="00D76E65">
        <w:rPr>
          <w:rStyle w:val="apple-converted-space"/>
          <w:rFonts w:ascii="Georgia" w:hAnsi="Georgia" w:cs="Arial"/>
          <w:color w:val="191B1C"/>
        </w:rPr>
        <w:t> </w:t>
      </w:r>
      <w:r w:rsidRPr="00D76E65">
        <w:rPr>
          <w:rStyle w:val="Siln"/>
          <w:rFonts w:ascii="Georgia" w:hAnsi="Georgia" w:cs="Arial"/>
          <w:color w:val="191B1C"/>
        </w:rPr>
        <w:t>ČSN ISO 2603 730503</w:t>
      </w:r>
      <w:r w:rsidRPr="00D76E65">
        <w:rPr>
          <w:rStyle w:val="apple-converted-space"/>
          <w:rFonts w:ascii="Georgia" w:hAnsi="Georgia" w:cs="Arial"/>
          <w:color w:val="191B1C"/>
        </w:rPr>
        <w:t> </w:t>
      </w:r>
      <w:r w:rsidRPr="00D76E65">
        <w:rPr>
          <w:rFonts w:ascii="Georgia" w:hAnsi="Georgia" w:cs="Arial"/>
          <w:color w:val="191B1C"/>
        </w:rPr>
        <w:t>(Kabiny pro simultánní tlumočení - Obecné charakteristiky a vybavení), kterou v lednu 2002 vydal Český normalizační institut.</w:t>
      </w:r>
    </w:p>
    <w:p w:rsidR="00D76E65" w:rsidRPr="00D76E65" w:rsidRDefault="00D76E65" w:rsidP="00D76E65">
      <w:pPr>
        <w:pStyle w:val="Nadpis1"/>
        <w:shd w:val="clear" w:color="auto" w:fill="FFFFFF"/>
        <w:spacing w:before="120" w:beforeAutospacing="0" w:after="120" w:afterAutospacing="0"/>
        <w:rPr>
          <w:rFonts w:ascii="Georgia" w:hAnsi="Georgia" w:cs="Arial"/>
          <w:color w:val="191B1C"/>
          <w:sz w:val="24"/>
          <w:szCs w:val="24"/>
        </w:rPr>
      </w:pPr>
      <w:hyperlink r:id="rId12" w:history="1">
        <w:r w:rsidRPr="00D76E65">
          <w:rPr>
            <w:rStyle w:val="Hypertextovodkaz"/>
            <w:rFonts w:ascii="Georgia" w:hAnsi="Georgia" w:cs="Arial"/>
            <w:b w:val="0"/>
            <w:bCs w:val="0"/>
            <w:sz w:val="24"/>
            <w:szCs w:val="24"/>
          </w:rPr>
          <w:t>http://www.askot.cz/cz/technicke-podminky/</w:t>
        </w:r>
      </w:hyperlink>
      <w:r>
        <w:rPr>
          <w:rFonts w:ascii="Georgia" w:hAnsi="Georgia" w:cs="Arial"/>
          <w:bCs w:val="0"/>
          <w:color w:val="191B1C"/>
          <w:sz w:val="24"/>
          <w:szCs w:val="24"/>
        </w:rPr>
        <w:t xml:space="preserve"> </w:t>
      </w:r>
      <w:bookmarkStart w:id="0" w:name="_GoBack"/>
      <w:bookmarkEnd w:id="0"/>
    </w:p>
    <w:p w:rsidR="00D76E65" w:rsidRPr="00D76E65" w:rsidRDefault="00D76E65" w:rsidP="00D76E65">
      <w:pPr>
        <w:spacing w:before="120" w:after="120" w:line="240" w:lineRule="auto"/>
        <w:rPr>
          <w:rFonts w:ascii="Georgia" w:hAnsi="Georgia"/>
          <w:sz w:val="24"/>
          <w:szCs w:val="24"/>
        </w:rPr>
      </w:pPr>
    </w:p>
    <w:sectPr w:rsidR="00D76E65" w:rsidRPr="00D76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216" w:rsidRDefault="007F2216" w:rsidP="008D4AA1">
      <w:pPr>
        <w:spacing w:after="0" w:line="240" w:lineRule="auto"/>
      </w:pPr>
      <w:r>
        <w:separator/>
      </w:r>
    </w:p>
  </w:endnote>
  <w:endnote w:type="continuationSeparator" w:id="0">
    <w:p w:rsidR="007F2216" w:rsidRDefault="007F2216" w:rsidP="008D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216" w:rsidRDefault="007F2216" w:rsidP="008D4AA1">
      <w:pPr>
        <w:spacing w:after="0" w:line="240" w:lineRule="auto"/>
      </w:pPr>
      <w:r>
        <w:separator/>
      </w:r>
    </w:p>
  </w:footnote>
  <w:footnote w:type="continuationSeparator" w:id="0">
    <w:p w:rsidR="007F2216" w:rsidRDefault="007F2216" w:rsidP="008D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754DC"/>
    <w:multiLevelType w:val="multilevel"/>
    <w:tmpl w:val="7A2C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815A8"/>
    <w:multiLevelType w:val="multilevel"/>
    <w:tmpl w:val="E84C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D09F4"/>
    <w:multiLevelType w:val="multilevel"/>
    <w:tmpl w:val="13C8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A1"/>
    <w:rsid w:val="007F2216"/>
    <w:rsid w:val="008D4AA1"/>
    <w:rsid w:val="00AA01C5"/>
    <w:rsid w:val="00D76E65"/>
    <w:rsid w:val="00F4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73F1"/>
  <w15:chartTrackingRefBased/>
  <w15:docId w15:val="{20EA0C8E-92A4-4E3D-A9C8-F4192EBF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76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pip">
    <w:name w:val="spip"/>
    <w:basedOn w:val="Normln"/>
    <w:rsid w:val="008D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4AA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D4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4AA1"/>
  </w:style>
  <w:style w:type="paragraph" w:styleId="Zpat">
    <w:name w:val="footer"/>
    <w:basedOn w:val="Normln"/>
    <w:link w:val="ZpatChar"/>
    <w:uiPriority w:val="99"/>
    <w:unhideWhenUsed/>
    <w:rsid w:val="008D4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4AA1"/>
  </w:style>
  <w:style w:type="character" w:styleId="Hypertextovodkaz">
    <w:name w:val="Hyperlink"/>
    <w:basedOn w:val="Standardnpsmoodstavce"/>
    <w:uiPriority w:val="99"/>
    <w:unhideWhenUsed/>
    <w:rsid w:val="008D4AA1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76E6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ubtitle">
    <w:name w:val="subtitle"/>
    <w:basedOn w:val="Standardnpsmoodstavce"/>
    <w:rsid w:val="00D76E65"/>
  </w:style>
  <w:style w:type="paragraph" w:styleId="Normlnweb">
    <w:name w:val="Normal (Web)"/>
    <w:basedOn w:val="Normln"/>
    <w:uiPriority w:val="99"/>
    <w:semiHidden/>
    <w:unhideWhenUsed/>
    <w:rsid w:val="00D7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7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kot.cz/cz/eticke-zasad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tpunion.org/spip/article.php3?id_article=260" TargetMode="External"/><Relationship Id="rId12" Type="http://schemas.openxmlformats.org/officeDocument/2006/relationships/hyperlink" Target="http://www.askot.cz/cz/technicke-podmink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kot.cz/cz/typy-tlumoceni/typy-tlumoceni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skot.cz/cz/typy-tlumoceni/typy-tlumoceni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kot.cz/cz/pracovni-podmink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1005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Petra Vavroušová</cp:lastModifiedBy>
  <cp:revision>2</cp:revision>
  <dcterms:created xsi:type="dcterms:W3CDTF">2015-04-10T12:33:00Z</dcterms:created>
  <dcterms:modified xsi:type="dcterms:W3CDTF">2016-07-10T15:34:00Z</dcterms:modified>
</cp:coreProperties>
</file>