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02903E" w14:textId="724F7F0F" w:rsidR="006D4A91" w:rsidRDefault="000B1636">
      <w:r>
        <w:t xml:space="preserve">Společensky odpovědná média v době krize by měla sloužit hlavně jako informační kanál, zprostředkovávající komunikaci mezi vládou a občany. Měla by vypouštět pouze relevantní informace. Je odpovědná, jaké informace a jakým způsobem je vyprodukují, aby to vyznělo objektivně a seriózně. Také by měla klást správné dotazy vládě a odborníkům. </w:t>
      </w:r>
    </w:p>
    <w:sectPr w:rsidR="006D4A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36"/>
    <w:rsid w:val="000B1636"/>
    <w:rsid w:val="006D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09BB"/>
  <w15:chartTrackingRefBased/>
  <w15:docId w15:val="{6C2E3EE1-50DC-492D-9C89-68252C67E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292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Šturm</dc:creator>
  <cp:keywords/>
  <dc:description/>
  <cp:lastModifiedBy>Marcel Šturm</cp:lastModifiedBy>
  <cp:revision>1</cp:revision>
  <dcterms:created xsi:type="dcterms:W3CDTF">2020-10-29T09:52:00Z</dcterms:created>
  <dcterms:modified xsi:type="dcterms:W3CDTF">2020-10-29T09:58:00Z</dcterms:modified>
</cp:coreProperties>
</file>