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49" w:rsidRPr="007A7BC7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/>
        <w:rPr>
          <w:b/>
          <w:bCs/>
          <w:sz w:val="32"/>
          <w:szCs w:val="32"/>
          <w:u w:val="single"/>
          <w:lang w:eastAsia="cs-CZ"/>
        </w:rPr>
      </w:pPr>
      <w:r w:rsidRPr="007A7BC7">
        <w:rPr>
          <w:b/>
          <w:bCs/>
          <w:sz w:val="32"/>
          <w:szCs w:val="32"/>
          <w:u w:val="single"/>
          <w:lang w:eastAsia="cs-CZ"/>
        </w:rPr>
        <w:t>Společenský a literární vývoj v době qádžárovské: drobné krůčky k velkým změnám</w:t>
      </w:r>
    </w:p>
    <w:p w:rsidR="00CC5749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/>
        <w:rPr>
          <w:b/>
          <w:bCs/>
          <w:sz w:val="32"/>
          <w:szCs w:val="32"/>
          <w:u w:val="single"/>
          <w:lang w:eastAsia="cs-CZ"/>
        </w:rPr>
      </w:pPr>
    </w:p>
    <w:p w:rsidR="00CC5749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/>
      </w:pPr>
      <w:r>
        <w:t xml:space="preserve">Browne, Edward Granville. </w:t>
      </w:r>
      <w:r>
        <w:rPr>
          <w:i/>
          <w:iCs/>
        </w:rPr>
        <w:t>A History of Persian Literature in Modern Times (A.D. 1500-1924)</w:t>
      </w:r>
      <w:r>
        <w:t>. Cambridge [England]: University Press, 1924.</w:t>
      </w:r>
    </w:p>
    <w:p w:rsidR="00CC5749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/>
        <w:rPr>
          <w:b/>
          <w:bCs/>
          <w:sz w:val="32"/>
          <w:szCs w:val="32"/>
          <w:u w:val="single"/>
          <w:lang w:eastAsia="cs-CZ"/>
        </w:rPr>
      </w:pPr>
    </w:p>
    <w:p w:rsidR="00CC5749" w:rsidRPr="00495F6C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/>
        <w:rPr>
          <w:b/>
          <w:bCs/>
          <w:u w:val="single"/>
          <w:lang w:eastAsia="cs-CZ"/>
        </w:rPr>
      </w:pPr>
      <w:r w:rsidRPr="00495F6C">
        <w:rPr>
          <w:b/>
          <w:bCs/>
          <w:u w:val="single"/>
          <w:lang w:eastAsia="cs-CZ"/>
        </w:rPr>
        <w:t>Historický kontext:</w:t>
      </w:r>
    </w:p>
    <w:p w:rsidR="00CC5749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/>
        <w:rPr>
          <w:b/>
          <w:bCs/>
          <w:sz w:val="32"/>
          <w:szCs w:val="32"/>
          <w:u w:val="single"/>
          <w:lang w:eastAsia="cs-CZ"/>
        </w:rPr>
      </w:pPr>
    </w:p>
    <w:p w:rsidR="00CC5749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autoSpaceDE w:val="0"/>
        <w:autoSpaceDN w:val="0"/>
        <w:adjustRightInd w:val="0"/>
        <w:contextualSpacing/>
        <w:rPr>
          <w:lang w:eastAsia="cs-CZ"/>
        </w:rPr>
      </w:pPr>
      <w:r>
        <w:rPr>
          <w:lang w:eastAsia="cs-CZ"/>
        </w:rPr>
        <w:t xml:space="preserve">Qádžárové /  </w:t>
      </w:r>
      <w:r w:rsidRPr="00E06AC9">
        <w:rPr>
          <w:b/>
          <w:bCs/>
          <w:lang w:eastAsia="cs-CZ"/>
        </w:rPr>
        <w:t>Mohammad Chán Qádžár</w:t>
      </w:r>
      <w:r>
        <w:rPr>
          <w:lang w:eastAsia="cs-CZ"/>
        </w:rPr>
        <w:t xml:space="preserve">–  (po Zandovcích), hlavní </w:t>
      </w:r>
      <w:r w:rsidRPr="009735BD">
        <w:rPr>
          <w:b/>
          <w:bCs/>
          <w:lang w:eastAsia="cs-CZ"/>
        </w:rPr>
        <w:t>město v Teheránu</w:t>
      </w:r>
      <w:r>
        <w:rPr>
          <w:lang w:eastAsia="cs-CZ"/>
        </w:rPr>
        <w:t xml:space="preserve"> </w:t>
      </w:r>
    </w:p>
    <w:p w:rsidR="00CC5749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autoSpaceDE w:val="0"/>
        <w:autoSpaceDN w:val="0"/>
        <w:adjustRightInd w:val="0"/>
        <w:contextualSpacing/>
        <w:rPr>
          <w:lang w:eastAsia="cs-CZ"/>
        </w:rPr>
      </w:pPr>
    </w:p>
    <w:p w:rsidR="00CC5749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autoSpaceDE w:val="0"/>
        <w:autoSpaceDN w:val="0"/>
        <w:adjustRightInd w:val="0"/>
        <w:contextualSpacing/>
        <w:rPr>
          <w:lang w:eastAsia="cs-CZ"/>
        </w:rPr>
      </w:pPr>
      <w:r w:rsidRPr="00D76D3A">
        <w:rPr>
          <w:b/>
          <w:bCs/>
          <w:lang w:eastAsia="cs-CZ"/>
        </w:rPr>
        <w:t>Fath Alí šáh</w:t>
      </w:r>
      <w:r>
        <w:rPr>
          <w:lang w:eastAsia="cs-CZ"/>
        </w:rPr>
        <w:t xml:space="preserve"> (1797-1834) </w:t>
      </w:r>
    </w:p>
    <w:p w:rsidR="00CC5749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autoSpaceDE w:val="0"/>
        <w:autoSpaceDN w:val="0"/>
        <w:adjustRightInd w:val="0"/>
        <w:contextualSpacing/>
        <w:rPr>
          <w:lang w:eastAsia="cs-CZ"/>
        </w:rPr>
      </w:pPr>
    </w:p>
    <w:p w:rsidR="00CC5749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contextualSpacing/>
        <w:rPr>
          <w:lang w:eastAsia="cs-CZ"/>
        </w:rPr>
      </w:pPr>
      <w:r>
        <w:rPr>
          <w:lang w:eastAsia="cs-CZ"/>
        </w:rPr>
        <w:t xml:space="preserve">-    cenné svědectví z této doby - několik knih </w:t>
      </w:r>
      <w:r w:rsidRPr="00E83066">
        <w:rPr>
          <w:b/>
          <w:bCs/>
          <w:lang w:eastAsia="cs-CZ"/>
        </w:rPr>
        <w:t>Sira Johna Malcolma</w:t>
      </w:r>
      <w:r>
        <w:rPr>
          <w:b/>
          <w:bCs/>
          <w:lang w:eastAsia="cs-CZ"/>
        </w:rPr>
        <w:t xml:space="preserve"> (</w:t>
      </w:r>
      <w:r>
        <w:rPr>
          <w:rStyle w:val="acopre"/>
        </w:rPr>
        <w:t>1769 –1833)</w:t>
      </w:r>
    </w:p>
    <w:p w:rsidR="00CC5749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contextualSpacing/>
        <w:rPr>
          <w:lang w:eastAsia="cs-CZ"/>
        </w:rPr>
      </w:pPr>
      <w:r>
        <w:rPr>
          <w:lang w:eastAsia="cs-CZ"/>
        </w:rPr>
        <w:t xml:space="preserve">-   dílo </w:t>
      </w:r>
      <w:r w:rsidRPr="004525FE">
        <w:rPr>
          <w:i/>
          <w:iCs/>
          <w:lang w:eastAsia="cs-CZ"/>
        </w:rPr>
        <w:t>History of Persia</w:t>
      </w:r>
      <w:r>
        <w:rPr>
          <w:lang w:eastAsia="cs-CZ"/>
        </w:rPr>
        <w:t xml:space="preserve"> (1815) a </w:t>
      </w:r>
      <w:r w:rsidRPr="004525FE">
        <w:rPr>
          <w:i/>
          <w:iCs/>
          <w:lang w:eastAsia="cs-CZ"/>
        </w:rPr>
        <w:t>Sketches of</w:t>
      </w:r>
      <w:r>
        <w:rPr>
          <w:i/>
          <w:iCs/>
          <w:lang w:eastAsia="cs-CZ"/>
        </w:rPr>
        <w:t xml:space="preserve"> Pe</w:t>
      </w:r>
      <w:r w:rsidRPr="004525FE">
        <w:rPr>
          <w:i/>
          <w:iCs/>
          <w:lang w:eastAsia="cs-CZ"/>
        </w:rPr>
        <w:t>rsia</w:t>
      </w:r>
      <w:r>
        <w:rPr>
          <w:lang w:eastAsia="cs-CZ"/>
        </w:rPr>
        <w:t xml:space="preserve"> (anonym. 1827) </w:t>
      </w:r>
    </w:p>
    <w:p w:rsidR="00CC5749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contextualSpacing/>
        <w:rPr>
          <w:lang w:eastAsia="cs-CZ"/>
        </w:rPr>
      </w:pPr>
    </w:p>
    <w:p w:rsidR="00CC5749" w:rsidRDefault="00CC5749" w:rsidP="00CC5749">
      <w:pPr>
        <w:pStyle w:val="Odstavecseseznamem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 xml:space="preserve">dobrý zdroj k JM: </w:t>
      </w:r>
      <w:r>
        <w:t xml:space="preserve">Nash, Geoffrey: </w:t>
      </w:r>
      <w:r w:rsidRPr="00CC5749">
        <w:rPr>
          <w:i/>
          <w:iCs/>
        </w:rPr>
        <w:t>Travellers to the Middle East from Burckhardt to Thesiger: An Anthology</w:t>
      </w:r>
      <w:r>
        <w:t>. London: Anthem Press, 2009</w:t>
      </w:r>
    </w:p>
    <w:p w:rsidR="00CC5749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contextualSpacing/>
      </w:pPr>
    </w:p>
    <w:p w:rsidR="00CC5749" w:rsidRPr="009735BD" w:rsidRDefault="00CC5749" w:rsidP="00CC5749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/>
        <w:rPr>
          <w:b/>
          <w:bCs/>
          <w:u w:val="single"/>
          <w:lang w:eastAsia="cs-CZ"/>
        </w:rPr>
      </w:pPr>
    </w:p>
    <w:p w:rsidR="00CC5749" w:rsidRDefault="00CC5749" w:rsidP="004259C1">
      <w:pPr>
        <w:pStyle w:val="Odstavecseseznamem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/>
        <w:rPr>
          <w:lang w:eastAsia="cs-CZ"/>
        </w:rPr>
      </w:pPr>
      <w:r>
        <w:rPr>
          <w:lang w:eastAsia="cs-CZ"/>
        </w:rPr>
        <w:t xml:space="preserve"> strategické postavení Persie pro Francouze i Brity</w:t>
      </w:r>
      <w:r w:rsidRPr="008504E7">
        <w:rPr>
          <w:lang w:eastAsia="cs-CZ"/>
        </w:rPr>
        <w:t xml:space="preserve"> </w:t>
      </w:r>
      <w:r>
        <w:rPr>
          <w:lang w:eastAsia="cs-CZ"/>
        </w:rPr>
        <w:t>(a Rusy)</w:t>
      </w:r>
    </w:p>
    <w:p w:rsidR="00CC5749" w:rsidRDefault="00CC5749" w:rsidP="00CC5749">
      <w:pPr>
        <w:pStyle w:val="Odstavecseseznamem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lang w:eastAsia="cs-CZ"/>
        </w:rPr>
      </w:pPr>
      <w:r w:rsidRPr="00844DB1">
        <w:rPr>
          <w:b/>
          <w:bCs/>
          <w:i/>
          <w:iCs/>
        </w:rPr>
        <w:t>The Great Game</w:t>
      </w:r>
      <w:r>
        <w:t xml:space="preserve"> </w:t>
      </w:r>
    </w:p>
    <w:p w:rsidR="00CC5749" w:rsidRDefault="00CC5749" w:rsidP="00CC5749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/>
        <w:rPr>
          <w:lang w:eastAsia="cs-CZ"/>
        </w:rPr>
      </w:pPr>
    </w:p>
    <w:p w:rsidR="00CC5749" w:rsidRDefault="00CC5749" w:rsidP="009B0E38">
      <w:pPr>
        <w:pStyle w:val="Odstavecseseznamem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afterAutospacing="1"/>
        <w:jc w:val="both"/>
      </w:pPr>
      <w:r>
        <w:t xml:space="preserve">R. 1834 </w:t>
      </w:r>
      <w:r w:rsidRPr="00C007DC">
        <w:t>Fath Alí Šáh</w:t>
      </w:r>
      <w:r>
        <w:t xml:space="preserve"> umírá - nástupce </w:t>
      </w:r>
      <w:r w:rsidRPr="00CC5749">
        <w:rPr>
          <w:b/>
          <w:bCs/>
        </w:rPr>
        <w:t>Mírzá Abbás</w:t>
      </w:r>
      <w:r>
        <w:t xml:space="preserve"> rovněž</w:t>
      </w:r>
    </w:p>
    <w:p w:rsidR="00CC5749" w:rsidRDefault="00CC5749" w:rsidP="00CC5749">
      <w:pPr>
        <w:pStyle w:val="Odstavecseseznamem"/>
      </w:pPr>
    </w:p>
    <w:p w:rsidR="00CC5749" w:rsidRPr="00CC5749" w:rsidRDefault="00CC5749" w:rsidP="00E57A0E">
      <w:pPr>
        <w:pStyle w:val="Odstavecseseznamem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afterAutospacing="1"/>
        <w:jc w:val="both"/>
      </w:pPr>
      <w:r>
        <w:t xml:space="preserve">šáhem se stává </w:t>
      </w:r>
      <w:r w:rsidRPr="00CC5749">
        <w:rPr>
          <w:b/>
          <w:bCs/>
        </w:rPr>
        <w:t>Mohammad</w:t>
      </w:r>
    </w:p>
    <w:p w:rsidR="00CC5749" w:rsidRDefault="00CC5749" w:rsidP="00CC5749">
      <w:pPr>
        <w:pStyle w:val="Odstavecseseznamem"/>
      </w:pPr>
    </w:p>
    <w:p w:rsidR="00CC5749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afterAutospacing="1"/>
        <w:jc w:val="both"/>
      </w:pPr>
      <w:r>
        <w:t>Důležité události/jevy v 1. pol. 19. stol:</w:t>
      </w:r>
    </w:p>
    <w:p w:rsidR="00CC5749" w:rsidRPr="008504E7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afterAutospacing="1"/>
        <w:contextualSpacing/>
      </w:pPr>
      <w:r>
        <w:rPr>
          <w:lang w:eastAsia="cs-CZ"/>
        </w:rPr>
        <w:t xml:space="preserve">     </w:t>
      </w:r>
      <w:r w:rsidRPr="008504E7">
        <w:rPr>
          <w:lang w:eastAsia="cs-CZ"/>
        </w:rPr>
        <w:t>1) zavedení tisku (roku 1816 v Tabrízu)</w:t>
      </w:r>
    </w:p>
    <w:p w:rsidR="00CC5749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afterAutospacing="1"/>
        <w:contextualSpacing/>
        <w:rPr>
          <w:lang w:eastAsia="cs-CZ"/>
        </w:rPr>
      </w:pPr>
      <w:r>
        <w:rPr>
          <w:lang w:eastAsia="cs-CZ"/>
        </w:rPr>
        <w:t xml:space="preserve">     </w:t>
      </w:r>
      <w:r w:rsidRPr="008504E7">
        <w:rPr>
          <w:lang w:eastAsia="cs-CZ"/>
        </w:rPr>
        <w:t>2) zjednodušení bombastického stylu</w:t>
      </w:r>
      <w:r>
        <w:rPr>
          <w:lang w:eastAsia="cs-CZ"/>
        </w:rPr>
        <w:t xml:space="preserve"> </w:t>
      </w:r>
      <w:r w:rsidRPr="008504E7">
        <w:rPr>
          <w:lang w:eastAsia="cs-CZ"/>
        </w:rPr>
        <w:t>dvorské</w:t>
      </w:r>
      <w:r>
        <w:rPr>
          <w:lang w:eastAsia="cs-CZ"/>
        </w:rPr>
        <w:t xml:space="preserve"> korespondence </w:t>
      </w:r>
      <w:r w:rsidRPr="008504E7">
        <w:rPr>
          <w:lang w:eastAsia="cs-CZ"/>
        </w:rPr>
        <w:t>Qáim-Maqámem</w:t>
      </w:r>
    </w:p>
    <w:p w:rsidR="00CC5749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afterAutospacing="1"/>
        <w:contextualSpacing/>
        <w:rPr>
          <w:lang w:eastAsia="cs-CZ"/>
        </w:rPr>
      </w:pPr>
    </w:p>
    <w:p w:rsidR="00CC5749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afterAutospacing="1"/>
        <w:contextualSpacing/>
      </w:pPr>
    </w:p>
    <w:p w:rsidR="00CC5749" w:rsidRDefault="00CC5749" w:rsidP="00CC5749">
      <w:pPr>
        <w:jc w:val="both"/>
      </w:pPr>
      <w:r w:rsidRPr="008504E7">
        <w:rPr>
          <w:b/>
          <w:bCs/>
          <w:u w:val="single"/>
        </w:rPr>
        <w:t xml:space="preserve">Mírzá Abolqásim  Qáim-Maqám Faráhání </w:t>
      </w:r>
      <w:r w:rsidRPr="008504E7">
        <w:t>(z. 1835)</w:t>
      </w:r>
    </w:p>
    <w:p w:rsidR="00CC5749" w:rsidRPr="00326662" w:rsidRDefault="00CC5749" w:rsidP="00CC5749">
      <w:pPr>
        <w:jc w:val="both"/>
      </w:pPr>
      <w:r w:rsidRPr="008504E7">
        <w:t xml:space="preserve"> </w:t>
      </w:r>
      <w:r w:rsidRPr="006B505C">
        <w:rPr>
          <w:rFonts w:hint="cs"/>
          <w:b/>
          <w:bCs/>
          <w:rtl/>
          <w:lang w:bidi="fa-IR"/>
        </w:rPr>
        <w:t>میرزا ابوالقاسم قائم مقام فراهانی</w:t>
      </w:r>
    </w:p>
    <w:p w:rsidR="00CC5749" w:rsidRPr="008504E7" w:rsidRDefault="00CC5749" w:rsidP="00CC5749">
      <w:pPr>
        <w:jc w:val="both"/>
      </w:pPr>
    </w:p>
    <w:p w:rsidR="00CC5749" w:rsidRPr="008504E7" w:rsidRDefault="00CC5749" w:rsidP="00CC5749">
      <w:pPr>
        <w:pStyle w:val="Odstavecseseznamem"/>
        <w:numPr>
          <w:ilvl w:val="0"/>
          <w:numId w:val="4"/>
        </w:numPr>
        <w:jc w:val="both"/>
      </w:pPr>
      <w:r>
        <w:t>uškrcen z rozkazu šáha Mohammada</w:t>
      </w:r>
      <w:r w:rsidRPr="008504E7">
        <w:t xml:space="preserve">, na popud QM nástupce – </w:t>
      </w:r>
      <w:r w:rsidRPr="00FF4249">
        <w:rPr>
          <w:b/>
          <w:bCs/>
        </w:rPr>
        <w:t>Hádží Mírzy Aghásího</w:t>
      </w:r>
      <w:r w:rsidRPr="008504E7">
        <w:t xml:space="preserve">. </w:t>
      </w:r>
    </w:p>
    <w:p w:rsidR="00CC5749" w:rsidRPr="008504E7" w:rsidRDefault="00CC5749" w:rsidP="00CC5749">
      <w:pPr>
        <w:jc w:val="both"/>
      </w:pPr>
    </w:p>
    <w:p w:rsidR="00CC5749" w:rsidRPr="00FF4249" w:rsidRDefault="00CC5749" w:rsidP="00CC5749">
      <w:pPr>
        <w:jc w:val="both"/>
        <w:rPr>
          <w:u w:val="single"/>
        </w:rPr>
      </w:pPr>
      <w:r w:rsidRPr="00FF4249">
        <w:rPr>
          <w:u w:val="single"/>
        </w:rPr>
        <w:t>Ukázka, kterou si</w:t>
      </w:r>
      <w:r>
        <w:rPr>
          <w:u w:val="single"/>
        </w:rPr>
        <w:t xml:space="preserve"> od něho</w:t>
      </w:r>
      <w:r w:rsidRPr="00FF4249">
        <w:rPr>
          <w:u w:val="single"/>
        </w:rPr>
        <w:t xml:space="preserve"> budeme číst:</w:t>
      </w:r>
    </w:p>
    <w:p w:rsidR="00CC5749" w:rsidRDefault="00CC5749" w:rsidP="00CC5749">
      <w:pPr>
        <w:jc w:val="both"/>
        <w:rPr>
          <w:b/>
          <w:bCs/>
        </w:rPr>
      </w:pPr>
      <w:r w:rsidRPr="00FF4249">
        <w:rPr>
          <w:b/>
          <w:bCs/>
        </w:rPr>
        <w:t>Královský dopis velkému carovi (zpráva o Gribojedově skonu…)</w:t>
      </w:r>
    </w:p>
    <w:p w:rsidR="00CC5749" w:rsidRDefault="00CC5749" w:rsidP="00CC5749">
      <w:pPr>
        <w:pStyle w:val="Default"/>
        <w:numPr>
          <w:ilvl w:val="0"/>
          <w:numId w:val="1"/>
        </w:numPr>
        <w:pBdr>
          <w:bottom w:val="single" w:sz="6" w:space="1" w:color="auto"/>
        </w:pBdr>
      </w:pPr>
      <w:r>
        <w:t>masakr</w:t>
      </w:r>
      <w:r w:rsidRPr="008504E7">
        <w:t xml:space="preserve"> </w:t>
      </w:r>
      <w:r w:rsidRPr="00D97B7A">
        <w:rPr>
          <w:b/>
          <w:bCs/>
        </w:rPr>
        <w:t>Gribojedovy mise r. 1829</w:t>
      </w:r>
      <w:r>
        <w:t xml:space="preserve"> v Teheránu</w:t>
      </w:r>
    </w:p>
    <w:p w:rsidR="00CC5749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/>
        <w:rPr>
          <w:b/>
          <w:bCs/>
          <w:sz w:val="32"/>
          <w:szCs w:val="32"/>
          <w:u w:val="single"/>
          <w:lang w:eastAsia="cs-CZ"/>
        </w:rPr>
      </w:pPr>
    </w:p>
    <w:p w:rsidR="00CC5749" w:rsidRPr="00CA1A36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/>
        <w:rPr>
          <w:b/>
          <w:bCs/>
          <w:sz w:val="32"/>
          <w:szCs w:val="32"/>
          <w:u w:val="single"/>
          <w:lang w:eastAsia="cs-CZ"/>
        </w:rPr>
      </w:pPr>
    </w:p>
    <w:p w:rsidR="00CC5749" w:rsidRPr="007A7BC7" w:rsidRDefault="00CC5749" w:rsidP="00CC5749">
      <w:pPr>
        <w:jc w:val="both"/>
        <w:rPr>
          <w:b/>
          <w:bCs/>
        </w:rPr>
      </w:pPr>
      <w:r w:rsidRPr="007A7BC7">
        <w:rPr>
          <w:b/>
          <w:bCs/>
        </w:rPr>
        <w:t xml:space="preserve">Amír Kabír  </w:t>
      </w:r>
      <w:r w:rsidRPr="007A7BC7">
        <w:rPr>
          <w:rFonts w:hint="cs"/>
          <w:b/>
          <w:bCs/>
          <w:rtl/>
          <w:lang w:bidi="fa-IR"/>
        </w:rPr>
        <w:t>میرزا تقی‌خان فراهانی</w:t>
      </w:r>
      <w:r w:rsidRPr="007A7BC7">
        <w:rPr>
          <w:b/>
          <w:bCs/>
          <w:lang w:bidi="fa-IR"/>
        </w:rPr>
        <w:t xml:space="preserve">  (1807-1851)</w:t>
      </w:r>
    </w:p>
    <w:p w:rsidR="00CC5749" w:rsidRDefault="00CC5749" w:rsidP="00CC5749">
      <w:pPr>
        <w:pStyle w:val="Odstavecseseznamem"/>
        <w:jc w:val="both"/>
      </w:pPr>
    </w:p>
    <w:p w:rsidR="00CC5749" w:rsidRPr="00995660" w:rsidRDefault="00CC5749" w:rsidP="00CC5749">
      <w:pPr>
        <w:pStyle w:val="Odstavecseseznamem"/>
        <w:numPr>
          <w:ilvl w:val="0"/>
          <w:numId w:val="5"/>
        </w:numPr>
        <w:jc w:val="both"/>
        <w:rPr>
          <w:b/>
          <w:bCs/>
          <w:lang w:bidi="fa-IR"/>
        </w:rPr>
      </w:pPr>
      <w:r w:rsidRPr="008504E7">
        <w:t xml:space="preserve">ministr na dvoře šáha Náseroddína (1848–1896) </w:t>
      </w:r>
    </w:p>
    <w:p w:rsidR="00CC5749" w:rsidRPr="008504E7" w:rsidRDefault="00CC5749" w:rsidP="00CC5749">
      <w:pPr>
        <w:jc w:val="both"/>
      </w:pPr>
    </w:p>
    <w:p w:rsidR="00CC5749" w:rsidRDefault="00CC5749" w:rsidP="00CC5749">
      <w:pPr>
        <w:pStyle w:val="Odstavecseseznamem"/>
        <w:numPr>
          <w:ilvl w:val="0"/>
          <w:numId w:val="1"/>
        </w:numPr>
        <w:jc w:val="both"/>
      </w:pPr>
      <w:r w:rsidRPr="007A7BC7">
        <w:rPr>
          <w:b/>
          <w:bCs/>
        </w:rPr>
        <w:t>R. 1851</w:t>
      </w:r>
      <w:r>
        <w:t xml:space="preserve"> - </w:t>
      </w:r>
      <w:r w:rsidRPr="008504E7">
        <w:t xml:space="preserve"> Dárolfunún.</w:t>
      </w:r>
      <w:r w:rsidRPr="00995660">
        <w:rPr>
          <w:rFonts w:hint="cs"/>
          <w:b/>
          <w:bCs/>
          <w:rtl/>
          <w:lang w:bidi="fa-IR"/>
        </w:rPr>
        <w:t xml:space="preserve"> دارالفنون</w:t>
      </w:r>
    </w:p>
    <w:p w:rsidR="00CC5749" w:rsidRDefault="00CC5749" w:rsidP="00CC5749">
      <w:pPr>
        <w:pStyle w:val="Odstavecseseznamem"/>
        <w:numPr>
          <w:ilvl w:val="0"/>
          <w:numId w:val="6"/>
        </w:numPr>
      </w:pPr>
      <w:r>
        <w:t>p</w:t>
      </w:r>
      <w:r w:rsidRPr="008504E7">
        <w:t xml:space="preserve">ůsobili zde i dva čeští učitelé:  dělostřelec. nadporučík </w:t>
      </w:r>
      <w:r w:rsidRPr="00995660">
        <w:rPr>
          <w:b/>
          <w:bCs/>
          <w:u w:val="single"/>
        </w:rPr>
        <w:t>August Karel Kříž</w:t>
      </w:r>
      <w:r w:rsidRPr="008504E7">
        <w:t xml:space="preserve"> - + lékař  </w:t>
      </w:r>
      <w:r w:rsidRPr="00995660">
        <w:rPr>
          <w:b/>
          <w:bCs/>
        </w:rPr>
        <w:t>Jakob Polák</w:t>
      </w:r>
    </w:p>
    <w:p w:rsidR="00CC5749" w:rsidRDefault="00CC5749" w:rsidP="00CC5749">
      <w:pPr>
        <w:rPr>
          <w:b/>
          <w:bCs/>
        </w:rPr>
      </w:pPr>
    </w:p>
    <w:p w:rsidR="00CC5749" w:rsidRDefault="00CC5749" w:rsidP="00CC5749">
      <w:r w:rsidRPr="00FE40E5">
        <w:rPr>
          <w:b/>
          <w:bCs/>
        </w:rPr>
        <w:t>August Karel Kříž</w:t>
      </w:r>
      <w:r>
        <w:t xml:space="preserve"> (Kržiž) (1814-1886) a </w:t>
      </w:r>
      <w:r w:rsidRPr="00FE40E5">
        <w:rPr>
          <w:b/>
          <w:bCs/>
        </w:rPr>
        <w:t>Jakub Eduard Polak</w:t>
      </w:r>
      <w:r>
        <w:t xml:space="preserve"> (1820-1891) </w:t>
      </w:r>
    </w:p>
    <w:p w:rsidR="00CC5749" w:rsidRDefault="00CC5749" w:rsidP="00CC5749"/>
    <w:p w:rsidR="00CC5749" w:rsidRDefault="00CC5749" w:rsidP="00CC5749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</w:pPr>
      <w:r>
        <w:t>Kříž napsal první perskou učebnici matematiky, dělostřelectva a algebry, zavedl v Teheránu první telefon a nakreslil i první plán města a okolí.</w:t>
      </w:r>
      <w:r w:rsidRPr="00FE40E5">
        <w:t xml:space="preserve"> </w:t>
      </w:r>
    </w:p>
    <w:p w:rsidR="00CC5749" w:rsidRDefault="00CC5749" w:rsidP="00CC5749">
      <w:pPr>
        <w:rPr>
          <w:b/>
          <w:bCs/>
        </w:rPr>
      </w:pPr>
    </w:p>
    <w:p w:rsidR="00CC5749" w:rsidRDefault="00CC5749" w:rsidP="00CC5749">
      <w:r w:rsidRPr="00FE40E5">
        <w:rPr>
          <w:b/>
          <w:bCs/>
        </w:rPr>
        <w:t>Polák</w:t>
      </w:r>
      <w:r>
        <w:t xml:space="preserve"> -  </w:t>
      </w:r>
      <w:r w:rsidRPr="00FE40E5">
        <w:rPr>
          <w:b/>
          <w:bCs/>
        </w:rPr>
        <w:t>51-60</w:t>
      </w:r>
      <w:r>
        <w:t xml:space="preserve"> učil medicínu na Dárolfunún</w:t>
      </w:r>
    </w:p>
    <w:p w:rsidR="00CC5749" w:rsidRDefault="00CC5749" w:rsidP="00CC5749">
      <w:r>
        <w:t xml:space="preserve">             </w:t>
      </w:r>
      <w:r w:rsidRPr="00FE40E5">
        <w:rPr>
          <w:b/>
          <w:bCs/>
        </w:rPr>
        <w:t>55-60</w:t>
      </w:r>
      <w:r>
        <w:t xml:space="preserve"> – osobní lékař Náseroddína</w:t>
      </w:r>
    </w:p>
    <w:p w:rsidR="00CC5749" w:rsidRDefault="00CC5749" w:rsidP="00CC5749"/>
    <w:p w:rsidR="00D25312" w:rsidRDefault="00CC5749" w:rsidP="00D25312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</w:pPr>
      <w:r>
        <w:t xml:space="preserve">První, kdo provedl pitvu </w:t>
      </w:r>
      <w:r w:rsidRPr="00FE40E5">
        <w:rPr>
          <w:b/>
          <w:bCs/>
        </w:rPr>
        <w:t>1854</w:t>
      </w:r>
      <w:r>
        <w:t xml:space="preserve"> (na svém rakouském kolegovi) </w:t>
      </w:r>
    </w:p>
    <w:p w:rsidR="00CC5749" w:rsidRDefault="00CC5749" w:rsidP="00CC5749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FE40E5">
        <w:rPr>
          <w:b/>
          <w:bCs/>
        </w:rPr>
        <w:t>1865</w:t>
      </w:r>
      <w:r>
        <w:t>: „</w:t>
      </w:r>
      <w:r w:rsidRPr="00FE40E5">
        <w:rPr>
          <w:i/>
          <w:iCs/>
        </w:rPr>
        <w:t>Persien, das Land und Seine Bewohner</w:t>
      </w:r>
      <w:r>
        <w:t xml:space="preserve">“. </w:t>
      </w:r>
    </w:p>
    <w:p w:rsidR="00CC5749" w:rsidRDefault="00CC5749" w:rsidP="00CC5749"/>
    <w:p w:rsidR="00CC5749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lang w:eastAsia="cs-CZ"/>
        </w:rPr>
      </w:pPr>
    </w:p>
    <w:p w:rsidR="00CC5749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u w:val="single"/>
        </w:rPr>
      </w:pPr>
      <w:r>
        <w:rPr>
          <w:lang w:eastAsia="cs-CZ"/>
        </w:rPr>
        <w:t xml:space="preserve"> </w:t>
      </w:r>
      <w:r>
        <w:t>Významný diplomat –</w:t>
      </w:r>
      <w:r w:rsidRPr="006A20FE">
        <w:rPr>
          <w:b/>
          <w:bCs/>
        </w:rPr>
        <w:t xml:space="preserve"> </w:t>
      </w:r>
      <w:r>
        <w:rPr>
          <w:b/>
          <w:bCs/>
          <w:u w:val="single"/>
        </w:rPr>
        <w:t>Mírzá Malkom C</w:t>
      </w:r>
      <w:r w:rsidRPr="00D97B7A">
        <w:rPr>
          <w:b/>
          <w:bCs/>
          <w:u w:val="single"/>
        </w:rPr>
        <w:t xml:space="preserve">hán (1833-1908) – </w:t>
      </w:r>
      <w:r w:rsidRPr="00D97B7A">
        <w:rPr>
          <w:b/>
          <w:bCs/>
          <w:u w:val="single"/>
          <w:rtl/>
        </w:rPr>
        <w:t>میرزا ملکم‌خان</w:t>
      </w:r>
    </w:p>
    <w:p w:rsidR="00CC5749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u w:val="single"/>
        </w:rPr>
      </w:pPr>
    </w:p>
    <w:p w:rsidR="00CC5749" w:rsidRDefault="00CC5749" w:rsidP="00CC5749">
      <w:pPr>
        <w:pStyle w:val="Export8"/>
      </w:pPr>
      <w:r>
        <w:t xml:space="preserve">Algar, Hamid. </w:t>
      </w:r>
      <w:r w:rsidRPr="00326662">
        <w:rPr>
          <w:i/>
          <w:iCs/>
        </w:rPr>
        <w:t>Mirza Malkum Khan: A Study in the History of Iranian Modernism</w:t>
      </w:r>
      <w:r>
        <w:t>. Berkeley, Calif: University of California, 1973.</w:t>
      </w:r>
    </w:p>
    <w:p w:rsidR="00CC5749" w:rsidRDefault="00CC5749" w:rsidP="00CC5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lang w:eastAsia="cs-CZ"/>
        </w:rPr>
      </w:pPr>
    </w:p>
    <w:p w:rsidR="00CC5749" w:rsidRPr="00D25312" w:rsidRDefault="00CC5749" w:rsidP="00D25312">
      <w:pPr>
        <w:pStyle w:val="Nadpis1"/>
        <w:numPr>
          <w:ilvl w:val="0"/>
          <w:numId w:val="1"/>
        </w:numPr>
        <w:rPr>
          <w:rFonts w:asciiTheme="majorBidi" w:hAnsiTheme="majorBidi"/>
          <w:b w:val="0"/>
          <w:bCs w:val="0"/>
          <w:color w:val="000000" w:themeColor="text1"/>
          <w:sz w:val="24"/>
          <w:szCs w:val="24"/>
          <w:lang w:bidi="fa-IR"/>
        </w:rPr>
      </w:pPr>
      <w:r w:rsidRPr="0095043B"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>pamflet</w:t>
      </w:r>
      <w:r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>/esej</w:t>
      </w:r>
      <w:r w:rsidRPr="0095043B"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 xml:space="preserve"> </w:t>
      </w:r>
      <w:r w:rsidRPr="00D41037">
        <w:rPr>
          <w:rFonts w:asciiTheme="majorBidi" w:hAnsiTheme="majorBidi"/>
          <w:color w:val="000000" w:themeColor="text1"/>
          <w:sz w:val="24"/>
          <w:szCs w:val="24"/>
          <w:u w:val="single"/>
        </w:rPr>
        <w:t>Ketábče-je ghajbí</w:t>
      </w:r>
      <w:r w:rsidRPr="0095043B"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>(Daftar-e tanzímát)</w:t>
      </w:r>
      <w:r w:rsidRPr="00D0050F">
        <w:t xml:space="preserve"> </w:t>
      </w:r>
      <w:r>
        <w:t>(</w:t>
      </w:r>
      <w:r>
        <w:rPr>
          <w:rtl/>
        </w:rPr>
        <w:t>دفتر تنظیمات</w:t>
      </w:r>
      <w:r>
        <w:t>)</w:t>
      </w:r>
      <w:r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 xml:space="preserve">  </w:t>
      </w:r>
      <w:r w:rsidRPr="0095043B">
        <w:rPr>
          <w:rFonts w:asciiTheme="majorBidi" w:hAnsiTheme="majorBidi"/>
          <w:b w:val="0"/>
          <w:bCs w:val="0"/>
          <w:color w:val="000000" w:themeColor="text1"/>
          <w:sz w:val="24"/>
          <w:szCs w:val="24"/>
          <w:rtl/>
          <w:lang w:bidi="fa-IR"/>
        </w:rPr>
        <w:t>کتابچه غیبی</w:t>
      </w:r>
      <w:r w:rsidRPr="0095043B">
        <w:rPr>
          <w:rFonts w:asciiTheme="majorBidi" w:hAnsiTheme="majorBidi"/>
          <w:b w:val="0"/>
          <w:bCs w:val="0"/>
          <w:color w:val="000000" w:themeColor="text1"/>
          <w:sz w:val="24"/>
          <w:szCs w:val="24"/>
          <w:lang w:bidi="fa-IR"/>
        </w:rPr>
        <w:t xml:space="preserve"> </w:t>
      </w:r>
      <w:r>
        <w:rPr>
          <w:rFonts w:asciiTheme="majorBidi" w:hAnsiTheme="majorBidi"/>
          <w:b w:val="0"/>
          <w:bCs w:val="0"/>
          <w:color w:val="000000" w:themeColor="text1"/>
          <w:sz w:val="24"/>
          <w:szCs w:val="24"/>
          <w:lang w:bidi="fa-IR"/>
        </w:rPr>
        <w:t>1859 – kterou zaslal anonymně šáhovi.</w:t>
      </w:r>
    </w:p>
    <w:p w:rsidR="00CC5749" w:rsidRDefault="00CC5749" w:rsidP="00CC5749">
      <w:pPr>
        <w:pStyle w:val="Nadpis1"/>
        <w:numPr>
          <w:ilvl w:val="0"/>
          <w:numId w:val="8"/>
        </w:numPr>
        <w:contextualSpacing/>
        <w:rPr>
          <w:rFonts w:asciiTheme="majorBidi" w:hAnsiTheme="majorBidi"/>
          <w:b w:val="0"/>
          <w:bCs w:val="0"/>
          <w:color w:val="000000" w:themeColor="text1"/>
          <w:sz w:val="24"/>
          <w:szCs w:val="24"/>
          <w:lang w:bidi="fa-IR"/>
        </w:rPr>
      </w:pPr>
      <w:r>
        <w:rPr>
          <w:rFonts w:asciiTheme="majorBidi" w:hAnsiTheme="majorBidi"/>
          <w:b w:val="0"/>
          <w:bCs w:val="0"/>
          <w:color w:val="000000" w:themeColor="text1"/>
          <w:sz w:val="24"/>
          <w:szCs w:val="24"/>
          <w:lang w:bidi="fa-IR"/>
        </w:rPr>
        <w:t>První formální plán vládních reforem vůbec</w:t>
      </w:r>
    </w:p>
    <w:p w:rsidR="00CC5749" w:rsidRDefault="00CC5749" w:rsidP="00CC5749">
      <w:pPr>
        <w:pStyle w:val="Export8"/>
      </w:pPr>
      <w:r>
        <w:t xml:space="preserve">R. 1871 byl povolán zpět do Teheránu, kde prezentuje šáhovi a premiérovi plán na vytvoření Národního shromáždění. </w:t>
      </w:r>
    </w:p>
    <w:p w:rsidR="00CC5749" w:rsidRDefault="00CC5749" w:rsidP="00CC5749">
      <w:pPr>
        <w:pStyle w:val="Export8"/>
      </w:pPr>
    </w:p>
    <w:p w:rsidR="00CC5749" w:rsidRDefault="00D25312" w:rsidP="00D25312">
      <w:pPr>
        <w:pStyle w:val="Export8"/>
        <w:numPr>
          <w:ilvl w:val="0"/>
          <w:numId w:val="9"/>
        </w:numPr>
      </w:pPr>
      <w:r>
        <w:t>1872 šáh - souhlas</w:t>
      </w:r>
      <w:r w:rsidR="00CC5749">
        <w:t xml:space="preserve"> s </w:t>
      </w:r>
      <w:r w:rsidR="00CC5749" w:rsidRPr="00B83D4D">
        <w:rPr>
          <w:b/>
          <w:bCs/>
        </w:rPr>
        <w:t>Reuterovou koncesí</w:t>
      </w:r>
      <w:r w:rsidR="00CC5749">
        <w:t xml:space="preserve"> na výstavbu železnice (sešlo z ní).</w:t>
      </w:r>
    </w:p>
    <w:p w:rsidR="00CC5749" w:rsidRDefault="00D25312" w:rsidP="00D25312">
      <w:pPr>
        <w:pStyle w:val="Export8"/>
        <w:numPr>
          <w:ilvl w:val="0"/>
          <w:numId w:val="1"/>
        </w:numPr>
      </w:pPr>
      <w:r>
        <w:t xml:space="preserve">Exil v Londýně - </w:t>
      </w:r>
      <w:r w:rsidR="00CC5749">
        <w:t xml:space="preserve">měsíčník </w:t>
      </w:r>
      <w:r w:rsidR="00CC5749" w:rsidRPr="002923EE">
        <w:rPr>
          <w:b/>
          <w:bCs/>
          <w:i/>
          <w:iCs/>
        </w:rPr>
        <w:t>Qánún</w:t>
      </w:r>
      <w:r w:rsidR="00CC5749" w:rsidRPr="002923EE">
        <w:rPr>
          <w:b/>
          <w:bCs/>
        </w:rPr>
        <w:t xml:space="preserve"> (Právo</w:t>
      </w:r>
      <w:r>
        <w:t>) (</w:t>
      </w:r>
      <w:r w:rsidR="00CC5749">
        <w:t xml:space="preserve">1890–1896) </w:t>
      </w:r>
    </w:p>
    <w:p w:rsidR="00CC5749" w:rsidRDefault="00CC5749" w:rsidP="00CC5749">
      <w:pPr>
        <w:rPr>
          <w:lang w:bidi="fa-IR"/>
        </w:rPr>
      </w:pPr>
    </w:p>
    <w:p w:rsidR="002F72A1" w:rsidRDefault="00D25312">
      <w:r w:rsidRPr="00D25312">
        <w:rPr>
          <w:noProof/>
          <w:lang w:eastAsia="cs-CZ"/>
        </w:rPr>
        <w:lastRenderedPageBreak/>
        <w:drawing>
          <wp:inline distT="0" distB="0" distL="0" distR="0">
            <wp:extent cx="4584700" cy="3333750"/>
            <wp:effectExtent l="0" t="0" r="6350" b="0"/>
            <wp:docPr id="3" name="Obrázek 3" descr="C:\Users\Zuzka\Documents\Dokumenty\Vyuka iranistika UK\Literatura\Moderni literatura\Seminar k literature\Mírzá Malkom Chán-Ketábče-je ghajbí\Makom Chán - Ketábče-je ghajbí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zka\Documents\Dokumenty\Vyuka iranistika UK\Literatura\Moderni literatura\Seminar k literature\Mírzá Malkom Chán-Ketábče-je ghajbí\Makom Chán - Ketábče-je ghajbí - kopi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1CE" w:rsidRDefault="00EB51CE">
      <w:r w:rsidRPr="00EB51CE">
        <w:rPr>
          <w:noProof/>
          <w:lang w:eastAsia="cs-CZ"/>
        </w:rPr>
        <w:lastRenderedPageBreak/>
        <w:drawing>
          <wp:inline distT="0" distB="0" distL="0" distR="0">
            <wp:extent cx="6038850" cy="6807200"/>
            <wp:effectExtent l="0" t="0" r="0" b="0"/>
            <wp:docPr id="4" name="Obrázek 4" descr="C:\Users\Zuzka\Documents\Dokumenty\Vyuka iranistika UK\Literatura\Moderni literatura\Seminar k literature\Mírzá Malkom Chán-Ketábče-je ghajbí\Makom Chán - Ketábče-je ghajbí 001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zka\Documents\Dokumenty\Vyuka iranistika UK\Literatura\Moderni literatura\Seminar k literature\Mírzá Malkom Chán-Ketábče-je ghajbí\Makom Chán - Ketábče-je ghajbí 001 - kopi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8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1CE" w:rsidRDefault="00EB51CE"/>
    <w:p w:rsidR="00EB51CE" w:rsidRDefault="00AB788B">
      <w:r w:rsidRPr="00AB788B">
        <w:rPr>
          <w:noProof/>
          <w:lang w:eastAsia="cs-CZ"/>
        </w:rPr>
        <w:lastRenderedPageBreak/>
        <w:drawing>
          <wp:inline distT="0" distB="0" distL="0" distR="0">
            <wp:extent cx="5880100" cy="6146800"/>
            <wp:effectExtent l="0" t="0" r="6350" b="6350"/>
            <wp:docPr id="1" name="Obrázek 1" descr="C:\Users\Zuzka\Documents\Dokumenty\Vyuka iranistika UK\Literatura\Moderni literatura\Seminar k literature\Mírzá Malkom Chán-Ketábče-je ghajbí\Makom Chán - Ketábče-je ghajbí 001 - kopi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zka\Documents\Dokumenty\Vyuka iranistika UK\Literatura\Moderni literatura\Seminar k literature\Mírzá Malkom Chán-Ketábče-je ghajbí\Makom Chán - Ketábče-je ghajbí 001 - kopie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61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51CE" w:rsidRDefault="00EB51CE"/>
    <w:p w:rsidR="00EB51CE" w:rsidRDefault="00EB51CE"/>
    <w:p w:rsidR="00EB51CE" w:rsidRDefault="00EB51CE"/>
    <w:p w:rsidR="00EB51CE" w:rsidRDefault="00EB51CE"/>
    <w:p w:rsidR="00EB51CE" w:rsidRDefault="00EB51CE"/>
    <w:p w:rsidR="00EB51CE" w:rsidRDefault="00EB51CE"/>
    <w:p w:rsidR="00EB51CE" w:rsidRDefault="00EB51CE"/>
    <w:p w:rsidR="00EB51CE" w:rsidRDefault="00EB51CE"/>
    <w:p w:rsidR="00EB51CE" w:rsidRDefault="00EB51CE"/>
    <w:p w:rsidR="00EB51CE" w:rsidRDefault="00EB51CE">
      <w:r>
        <w:t>Gribojedova mise:</w:t>
      </w:r>
    </w:p>
    <w:p w:rsidR="00EB51CE" w:rsidRDefault="00EB51CE">
      <w:r w:rsidRPr="00EB51CE">
        <w:rPr>
          <w:noProof/>
          <w:lang w:eastAsia="cs-CZ"/>
        </w:rPr>
        <w:lastRenderedPageBreak/>
        <w:drawing>
          <wp:inline distT="0" distB="0" distL="0" distR="0">
            <wp:extent cx="5772150" cy="6731000"/>
            <wp:effectExtent l="0" t="0" r="0" b="0"/>
            <wp:docPr id="5" name="Obrázek 5" descr="C:\Users\Zuzka\Documents\Dokumenty\Vyuka iranistika UK\Literatura\Moderni literatura\Seminar k literature\Qáim Maqám\Qáim Maqám-Vražda Gribojed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uzka\Documents\Dokumenty\Vyuka iranistika UK\Literatura\Moderni literatura\Seminar k literature\Qáim Maqám\Qáim Maqám-Vražda Gribojedov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73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1CE" w:rsidRDefault="00EB51CE"/>
    <w:p w:rsidR="00EB51CE" w:rsidRDefault="00EB51CE"/>
    <w:sectPr w:rsidR="00EB51CE" w:rsidSect="00737489"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811" w:rsidRDefault="00C52811" w:rsidP="00CC5749">
      <w:r>
        <w:separator/>
      </w:r>
    </w:p>
  </w:endnote>
  <w:endnote w:type="continuationSeparator" w:id="0">
    <w:p w:rsidR="00C52811" w:rsidRDefault="00C52811" w:rsidP="00CC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811" w:rsidRDefault="00C52811" w:rsidP="00CC5749">
      <w:r>
        <w:separator/>
      </w:r>
    </w:p>
  </w:footnote>
  <w:footnote w:type="continuationSeparator" w:id="0">
    <w:p w:rsidR="00C52811" w:rsidRDefault="00C52811" w:rsidP="00CC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35E61"/>
    <w:multiLevelType w:val="hybridMultilevel"/>
    <w:tmpl w:val="B6A6A8BA"/>
    <w:lvl w:ilvl="0" w:tplc="DF729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328BE"/>
    <w:multiLevelType w:val="hybridMultilevel"/>
    <w:tmpl w:val="6A4C6C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600EB"/>
    <w:multiLevelType w:val="hybridMultilevel"/>
    <w:tmpl w:val="63AE69B0"/>
    <w:lvl w:ilvl="0" w:tplc="71A65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F11FF"/>
    <w:multiLevelType w:val="hybridMultilevel"/>
    <w:tmpl w:val="AB708CB0"/>
    <w:lvl w:ilvl="0" w:tplc="85C67136">
      <w:start w:val="2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563D0"/>
    <w:multiLevelType w:val="hybridMultilevel"/>
    <w:tmpl w:val="A918A7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F3908"/>
    <w:multiLevelType w:val="hybridMultilevel"/>
    <w:tmpl w:val="1E6C6E2C"/>
    <w:lvl w:ilvl="0" w:tplc="9E5E00C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82210"/>
    <w:multiLevelType w:val="hybridMultilevel"/>
    <w:tmpl w:val="84B244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B121B"/>
    <w:multiLevelType w:val="hybridMultilevel"/>
    <w:tmpl w:val="99223B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60053"/>
    <w:multiLevelType w:val="hybridMultilevel"/>
    <w:tmpl w:val="2EB66B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A469B"/>
    <w:multiLevelType w:val="hybridMultilevel"/>
    <w:tmpl w:val="E29296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01DA2"/>
    <w:multiLevelType w:val="hybridMultilevel"/>
    <w:tmpl w:val="3F62F1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82DF2"/>
    <w:multiLevelType w:val="hybridMultilevel"/>
    <w:tmpl w:val="8C6A5F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E65FC"/>
    <w:multiLevelType w:val="hybridMultilevel"/>
    <w:tmpl w:val="87FC4D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C7423"/>
    <w:multiLevelType w:val="hybridMultilevel"/>
    <w:tmpl w:val="8B164B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13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12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49"/>
    <w:rsid w:val="00010C4D"/>
    <w:rsid w:val="002F72A1"/>
    <w:rsid w:val="00736E04"/>
    <w:rsid w:val="00AB788B"/>
    <w:rsid w:val="00C52811"/>
    <w:rsid w:val="00CC5749"/>
    <w:rsid w:val="00D25312"/>
    <w:rsid w:val="00EB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41D91-0319-461F-AAD9-EF90C7D2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C57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57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5749"/>
  </w:style>
  <w:style w:type="paragraph" w:styleId="Zpat">
    <w:name w:val="footer"/>
    <w:basedOn w:val="Normln"/>
    <w:link w:val="ZpatChar"/>
    <w:uiPriority w:val="99"/>
    <w:unhideWhenUsed/>
    <w:rsid w:val="00CC57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5749"/>
  </w:style>
  <w:style w:type="character" w:customStyle="1" w:styleId="Nadpis1Char">
    <w:name w:val="Nadpis 1 Char"/>
    <w:basedOn w:val="Standardnpsmoodstavce"/>
    <w:link w:val="Nadpis1"/>
    <w:rsid w:val="00CC57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Export8">
    <w:name w:val="Export 8"/>
    <w:basedOn w:val="Normln"/>
    <w:rsid w:val="00CC5749"/>
    <w:pPr>
      <w:widowControl w:val="0"/>
      <w:autoSpaceDE w:val="0"/>
      <w:autoSpaceDN w:val="0"/>
      <w:adjustRightInd w:val="0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CC5749"/>
    <w:pPr>
      <w:ind w:left="720"/>
      <w:contextualSpacing/>
    </w:pPr>
  </w:style>
  <w:style w:type="paragraph" w:customStyle="1" w:styleId="Default">
    <w:name w:val="Default"/>
    <w:rsid w:val="00CC5749"/>
    <w:pPr>
      <w:widowControl w:val="0"/>
      <w:autoSpaceDE w:val="0"/>
      <w:autoSpaceDN w:val="0"/>
      <w:adjustRightInd w:val="0"/>
      <w:spacing w:after="0" w:line="240" w:lineRule="auto"/>
    </w:pPr>
    <w:rPr>
      <w:rFonts w:ascii="Baskerville" w:eastAsia="Times New Roman" w:hAnsi="Baskerville" w:cs="Baskerville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CC5749"/>
    <w:rPr>
      <w:sz w:val="20"/>
      <w:szCs w:val="20"/>
      <w:lang w:eastAsia="cs-CZ" w:bidi="fa-IR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C5749"/>
    <w:rPr>
      <w:rFonts w:ascii="Times New Roman" w:eastAsia="Times New Roman" w:hAnsi="Times New Roman" w:cs="Times New Roman"/>
      <w:sz w:val="20"/>
      <w:szCs w:val="20"/>
      <w:lang w:eastAsia="cs-CZ" w:bidi="fa-IR"/>
    </w:rPr>
  </w:style>
  <w:style w:type="character" w:styleId="Znakapoznpodarou">
    <w:name w:val="footnote reference"/>
    <w:basedOn w:val="Standardnpsmoodstavce"/>
    <w:semiHidden/>
    <w:rsid w:val="00CC5749"/>
    <w:rPr>
      <w:vertAlign w:val="superscript"/>
    </w:rPr>
  </w:style>
  <w:style w:type="character" w:customStyle="1" w:styleId="acopre">
    <w:name w:val="acopre"/>
    <w:basedOn w:val="Standardnpsmoodstavce"/>
    <w:rsid w:val="00CC5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jara</dc:creator>
  <cp:keywords/>
  <dc:description/>
  <cp:lastModifiedBy>eva jara</cp:lastModifiedBy>
  <cp:revision>2</cp:revision>
  <dcterms:created xsi:type="dcterms:W3CDTF">2020-10-07T22:06:00Z</dcterms:created>
  <dcterms:modified xsi:type="dcterms:W3CDTF">2020-10-08T06:27:00Z</dcterms:modified>
</cp:coreProperties>
</file>