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06" w:rsidRPr="00CE0106" w:rsidRDefault="00CE0106" w:rsidP="00CE0106">
      <w:pPr>
        <w:pStyle w:val="Nadpis1"/>
        <w:ind w:left="360"/>
        <w:rPr>
          <w:b/>
          <w:sz w:val="40"/>
          <w:szCs w:val="40"/>
        </w:rPr>
      </w:pPr>
      <w:r w:rsidRPr="00CE0106">
        <w:rPr>
          <w:b/>
          <w:sz w:val="40"/>
          <w:szCs w:val="40"/>
        </w:rPr>
        <w:t>13. Hodnotové kontexty práce</w:t>
      </w:r>
    </w:p>
    <w:p w:rsidR="00CE0106" w:rsidRPr="00CE0106" w:rsidRDefault="00CE0106" w:rsidP="00CE0106"/>
    <w:p w:rsidR="00CE0106" w:rsidRPr="00CE0106" w:rsidRDefault="00CE0106" w:rsidP="00CE0106">
      <w:pPr>
        <w:rPr>
          <w:rFonts w:eastAsia="Arial Unicode MS"/>
          <w:color w:val="000000"/>
        </w:rPr>
      </w:pPr>
      <w:r w:rsidRPr="00CE0106">
        <w:rPr>
          <w:color w:val="000000"/>
        </w:rPr>
        <w:t>Efekty transformace v subjektivním vnímání lze hledat zejména v rovině práce (tržní prostředí, požadavky na výkon, flexibilitu)</w:t>
      </w:r>
    </w:p>
    <w:p w:rsidR="00CE0106" w:rsidRPr="00CE0106" w:rsidRDefault="00CE0106" w:rsidP="00CE0106">
      <w:pPr>
        <w:rPr>
          <w:color w:val="000000"/>
        </w:rPr>
      </w:pPr>
      <w:r w:rsidRPr="00CE0106">
        <w:rPr>
          <w:color w:val="000000"/>
        </w:rPr>
        <w:t xml:space="preserve">Sociální diferenciace se odráží i ve struktuře hodnotových orientací – vliv sociálního statusu vyšší status = vyšší důraz na svobodu a nižší na sociální spravedlnost </w:t>
      </w:r>
      <w:r>
        <w:rPr>
          <w:color w:val="000000"/>
        </w:rPr>
        <w:t>(</w:t>
      </w:r>
      <w:proofErr w:type="spellStart"/>
      <w:r w:rsidRPr="00CE0106">
        <w:rPr>
          <w:i/>
          <w:iCs/>
          <w:color w:val="000000"/>
        </w:rPr>
        <w:t>Hayek</w:t>
      </w:r>
      <w:proofErr w:type="spellEnd"/>
      <w:r>
        <w:rPr>
          <w:i/>
          <w:iCs/>
          <w:color w:val="000000"/>
        </w:rPr>
        <w:t>)</w:t>
      </w:r>
      <w:r w:rsidRPr="00CE0106">
        <w:rPr>
          <w:color w:val="000000"/>
        </w:rPr>
        <w:t xml:space="preserve"> </w:t>
      </w:r>
    </w:p>
    <w:p w:rsidR="00CE0106" w:rsidRPr="00CE0106" w:rsidRDefault="00CE0106" w:rsidP="00CE0106">
      <w:pPr>
        <w:rPr>
          <w:color w:val="000000"/>
        </w:rPr>
      </w:pPr>
      <w:r w:rsidRPr="00CE0106">
        <w:rPr>
          <w:color w:val="000000"/>
        </w:rPr>
        <w:t xml:space="preserve">V rovině hodnot tomu odpovídá důraz na </w:t>
      </w:r>
      <w:proofErr w:type="spellStart"/>
      <w:r w:rsidRPr="00CE0106">
        <w:rPr>
          <w:color w:val="000000"/>
        </w:rPr>
        <w:t>seberalizaci</w:t>
      </w:r>
      <w:proofErr w:type="spellEnd"/>
      <w:r w:rsidRPr="00CE0106">
        <w:rPr>
          <w:color w:val="000000"/>
        </w:rPr>
        <w:t xml:space="preserve"> (= svoboda) a morálku (= spravedlnost)</w:t>
      </w:r>
    </w:p>
    <w:p w:rsidR="00CE0106" w:rsidRDefault="00CE0106" w:rsidP="00CE0106">
      <w:pPr>
        <w:rPr>
          <w:color w:val="000000"/>
        </w:rPr>
      </w:pPr>
    </w:p>
    <w:p w:rsidR="00DD09D2" w:rsidRPr="00CE0106" w:rsidRDefault="00DD09D2" w:rsidP="00CE0106">
      <w:pPr>
        <w:rPr>
          <w:color w:val="000000"/>
        </w:rPr>
      </w:pPr>
    </w:p>
    <w:p w:rsidR="00CE0106" w:rsidRPr="00DD09D2" w:rsidRDefault="00CE0106" w:rsidP="00CE0106">
      <w:pPr>
        <w:jc w:val="center"/>
        <w:rPr>
          <w:rFonts w:eastAsia="Arial Unicode MS"/>
          <w:b/>
          <w:color w:val="FF0000"/>
        </w:rPr>
      </w:pPr>
      <w:r w:rsidRPr="00DD09D2">
        <w:rPr>
          <w:b/>
          <w:color w:val="FF0000"/>
        </w:rPr>
        <w:t>Práce v systému hodnot</w:t>
      </w:r>
    </w:p>
    <w:p w:rsidR="00DD09D2" w:rsidRDefault="00DD09D2" w:rsidP="00CE0106">
      <w:pPr>
        <w:rPr>
          <w:color w:val="000000"/>
        </w:rPr>
      </w:pPr>
    </w:p>
    <w:p w:rsidR="00CE0106" w:rsidRPr="00CE0106" w:rsidRDefault="00CE0106" w:rsidP="00CE0106">
      <w:pPr>
        <w:rPr>
          <w:i/>
          <w:iCs/>
          <w:color w:val="000000"/>
        </w:rPr>
      </w:pPr>
      <w:r w:rsidRPr="00CE0106">
        <w:rPr>
          <w:color w:val="000000"/>
        </w:rPr>
        <w:t xml:space="preserve">Hodnoty jako standardy </w:t>
      </w:r>
      <w:r>
        <w:rPr>
          <w:i/>
          <w:iCs/>
          <w:color w:val="000000"/>
        </w:rPr>
        <w:t>(</w:t>
      </w:r>
      <w:proofErr w:type="spellStart"/>
      <w:r w:rsidRPr="00CE0106">
        <w:rPr>
          <w:i/>
          <w:iCs/>
          <w:color w:val="000000"/>
        </w:rPr>
        <w:t>Rokeach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Value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Survey</w:t>
      </w:r>
      <w:proofErr w:type="spellEnd"/>
      <w:r>
        <w:rPr>
          <w:i/>
          <w:iCs/>
          <w:color w:val="000000"/>
        </w:rPr>
        <w:t>, 1973)</w:t>
      </w:r>
      <w:r w:rsidRPr="00CE0106">
        <w:rPr>
          <w:i/>
          <w:iCs/>
          <w:color w:val="000000"/>
        </w:rPr>
        <w:t xml:space="preserve"> </w:t>
      </w:r>
    </w:p>
    <w:p w:rsidR="00CE0106" w:rsidRPr="00CE0106" w:rsidRDefault="00CE0106" w:rsidP="00CE0106">
      <w:pPr>
        <w:rPr>
          <w:color w:val="000000"/>
        </w:rPr>
      </w:pPr>
      <w:r w:rsidRPr="00CE0106">
        <w:rPr>
          <w:color w:val="000000"/>
        </w:rPr>
        <w:t>-</w:t>
      </w:r>
      <w:r>
        <w:rPr>
          <w:color w:val="000000"/>
        </w:rPr>
        <w:t xml:space="preserve"> </w:t>
      </w:r>
      <w:r w:rsidRPr="00CE0106">
        <w:rPr>
          <w:color w:val="000000"/>
        </w:rPr>
        <w:t>Cílové – Čeho dosáhnout?</w:t>
      </w:r>
    </w:p>
    <w:p w:rsidR="00CE0106" w:rsidRPr="00CE0106" w:rsidRDefault="00CE0106" w:rsidP="00CE0106">
      <w:pPr>
        <w:rPr>
          <w:i/>
          <w:iCs/>
          <w:color w:val="000000"/>
        </w:rPr>
      </w:pPr>
      <w:r w:rsidRPr="00CE0106">
        <w:rPr>
          <w:color w:val="000000"/>
        </w:rPr>
        <w:t>-</w:t>
      </w:r>
      <w:r>
        <w:rPr>
          <w:color w:val="000000"/>
        </w:rPr>
        <w:t xml:space="preserve"> </w:t>
      </w:r>
      <w:r w:rsidRPr="00CE0106">
        <w:rPr>
          <w:color w:val="000000"/>
        </w:rPr>
        <w:t xml:space="preserve">Instrumentální – Jak dosáhnout? </w:t>
      </w:r>
      <w:r w:rsidRPr="00CE0106">
        <w:rPr>
          <w:i/>
          <w:iCs/>
          <w:color w:val="000000"/>
        </w:rPr>
        <w:t>(morálka, etika)</w:t>
      </w:r>
    </w:p>
    <w:p w:rsidR="00CE0106" w:rsidRPr="00CE0106" w:rsidRDefault="00CE0106" w:rsidP="00CE0106">
      <w:pPr>
        <w:rPr>
          <w:i/>
          <w:iCs/>
          <w:color w:val="000000"/>
        </w:rPr>
      </w:pPr>
    </w:p>
    <w:p w:rsidR="00CE0106" w:rsidRPr="00CE0106" w:rsidRDefault="00CE0106" w:rsidP="00CE0106">
      <w:pPr>
        <w:rPr>
          <w:iCs/>
          <w:color w:val="000000"/>
        </w:rPr>
      </w:pPr>
      <w:r w:rsidRPr="00CE0106">
        <w:rPr>
          <w:iCs/>
          <w:color w:val="000000"/>
        </w:rPr>
        <w:t xml:space="preserve">Operacionalizace </w:t>
      </w:r>
      <w:r w:rsidR="00DD09D2">
        <w:rPr>
          <w:iCs/>
          <w:color w:val="000000"/>
        </w:rPr>
        <w:t>hodnot</w:t>
      </w:r>
      <w:r w:rsidRPr="00CE0106">
        <w:rPr>
          <w:iCs/>
          <w:color w:val="000000"/>
        </w:rPr>
        <w:t xml:space="preserve"> práce:</w:t>
      </w:r>
    </w:p>
    <w:p w:rsidR="00CE0106" w:rsidRPr="00CE0106" w:rsidRDefault="00CE0106" w:rsidP="00CE0106">
      <w:pPr>
        <w:numPr>
          <w:ilvl w:val="0"/>
          <w:numId w:val="1"/>
        </w:numPr>
        <w:rPr>
          <w:iCs/>
          <w:color w:val="000000"/>
        </w:rPr>
      </w:pPr>
      <w:r w:rsidRPr="00CE0106">
        <w:rPr>
          <w:iCs/>
          <w:color w:val="000000"/>
        </w:rPr>
        <w:t xml:space="preserve">mít zajímavou práci </w:t>
      </w:r>
    </w:p>
    <w:p w:rsidR="00CE0106" w:rsidRPr="00CE0106" w:rsidRDefault="00CE0106" w:rsidP="00CE0106">
      <w:pPr>
        <w:numPr>
          <w:ilvl w:val="0"/>
          <w:numId w:val="1"/>
        </w:numPr>
        <w:rPr>
          <w:iCs/>
          <w:color w:val="000000"/>
        </w:rPr>
      </w:pPr>
      <w:r w:rsidRPr="00CE0106">
        <w:rPr>
          <w:iCs/>
          <w:color w:val="000000"/>
        </w:rPr>
        <w:t xml:space="preserve">dosáhnout špičkové úrovně v oboru </w:t>
      </w:r>
    </w:p>
    <w:p w:rsidR="00CE0106" w:rsidRPr="00CE0106" w:rsidRDefault="00CE0106" w:rsidP="00CE0106">
      <w:pPr>
        <w:numPr>
          <w:ilvl w:val="0"/>
          <w:numId w:val="1"/>
        </w:numPr>
        <w:rPr>
          <w:iCs/>
          <w:color w:val="000000"/>
        </w:rPr>
      </w:pPr>
      <w:r w:rsidRPr="00CE0106">
        <w:rPr>
          <w:iCs/>
          <w:color w:val="000000"/>
        </w:rPr>
        <w:t xml:space="preserve">zastávat v zaměstnání vedoucí místo </w:t>
      </w:r>
    </w:p>
    <w:p w:rsidR="00CE0106" w:rsidRPr="00CE0106" w:rsidRDefault="00CE0106" w:rsidP="00CE0106">
      <w:pPr>
        <w:numPr>
          <w:ilvl w:val="0"/>
          <w:numId w:val="1"/>
        </w:numPr>
        <w:rPr>
          <w:iCs/>
          <w:color w:val="000000"/>
        </w:rPr>
      </w:pPr>
      <w:r w:rsidRPr="00CE0106">
        <w:rPr>
          <w:iCs/>
          <w:color w:val="000000"/>
        </w:rPr>
        <w:t xml:space="preserve">získat co nejvyšší vzdělání, kvalifikaci </w:t>
      </w:r>
    </w:p>
    <w:p w:rsidR="00CE0106" w:rsidRPr="00CE0106" w:rsidRDefault="00CE0106" w:rsidP="00CE0106">
      <w:pPr>
        <w:numPr>
          <w:ilvl w:val="0"/>
          <w:numId w:val="1"/>
        </w:numPr>
        <w:rPr>
          <w:iCs/>
          <w:color w:val="000000"/>
        </w:rPr>
      </w:pPr>
      <w:r w:rsidRPr="00CE0106">
        <w:rPr>
          <w:iCs/>
          <w:color w:val="000000"/>
        </w:rPr>
        <w:t xml:space="preserve">mít možnost soukromně podnikat </w:t>
      </w:r>
    </w:p>
    <w:p w:rsidR="00CE0106" w:rsidRPr="00CE0106" w:rsidRDefault="00CE0106" w:rsidP="00CE0106">
      <w:pPr>
        <w:numPr>
          <w:ilvl w:val="0"/>
          <w:numId w:val="1"/>
        </w:numPr>
        <w:rPr>
          <w:iCs/>
          <w:color w:val="000000"/>
        </w:rPr>
      </w:pPr>
      <w:r w:rsidRPr="00CE0106">
        <w:rPr>
          <w:iCs/>
          <w:color w:val="000000"/>
        </w:rPr>
        <w:t xml:space="preserve">mít dobře placenou práci </w:t>
      </w:r>
    </w:p>
    <w:p w:rsidR="00CE0106" w:rsidRPr="00CE0106" w:rsidRDefault="00CE0106" w:rsidP="00CE0106">
      <w:pPr>
        <w:numPr>
          <w:ilvl w:val="0"/>
          <w:numId w:val="1"/>
        </w:numPr>
        <w:rPr>
          <w:iCs/>
          <w:color w:val="000000"/>
        </w:rPr>
      </w:pPr>
      <w:r w:rsidRPr="00CE0106">
        <w:rPr>
          <w:iCs/>
          <w:color w:val="000000"/>
        </w:rPr>
        <w:t xml:space="preserve">mít možnost podílet se na řízení v zaměstnání </w:t>
      </w:r>
    </w:p>
    <w:p w:rsidR="00CE0106" w:rsidRPr="00CE0106" w:rsidRDefault="00CE0106" w:rsidP="00CE0106">
      <w:pPr>
        <w:rPr>
          <w:i/>
          <w:iCs/>
          <w:color w:val="000000"/>
        </w:rPr>
      </w:pPr>
    </w:p>
    <w:p w:rsidR="00CE0106" w:rsidRPr="00CE0106" w:rsidRDefault="00CE0106" w:rsidP="00CE0106">
      <w:pPr>
        <w:rPr>
          <w:i/>
          <w:iCs/>
          <w:vanish/>
          <w:color w:val="000000"/>
        </w:rPr>
      </w:pPr>
    </w:p>
    <w:p w:rsidR="00CE0106" w:rsidRPr="00CE0106" w:rsidRDefault="00CE0106" w:rsidP="00CE0106">
      <w:pPr>
        <w:rPr>
          <w:color w:val="000000"/>
        </w:rPr>
      </w:pPr>
      <w:r w:rsidRPr="00CE0106">
        <w:rPr>
          <w:color w:val="000000"/>
        </w:rPr>
        <w:t xml:space="preserve">Metodologické otázky </w:t>
      </w:r>
      <w:r w:rsidR="00DD09D2">
        <w:rPr>
          <w:color w:val="000000"/>
        </w:rPr>
        <w:t>spojené s výzkumem hodnot:</w:t>
      </w:r>
    </w:p>
    <w:p w:rsidR="00CE0106" w:rsidRPr="00CE0106" w:rsidRDefault="00CE0106" w:rsidP="00CE0106">
      <w:pPr>
        <w:rPr>
          <w:color w:val="000000"/>
        </w:rPr>
      </w:pPr>
      <w:r w:rsidRPr="00CE0106">
        <w:rPr>
          <w:color w:val="000000"/>
        </w:rPr>
        <w:t>-</w:t>
      </w:r>
      <w:r w:rsidR="00DD09D2">
        <w:rPr>
          <w:color w:val="000000"/>
        </w:rPr>
        <w:t xml:space="preserve"> </w:t>
      </w:r>
      <w:r w:rsidRPr="00CE0106">
        <w:rPr>
          <w:color w:val="000000"/>
        </w:rPr>
        <w:t xml:space="preserve">rating (stupnice) nebo </w:t>
      </w:r>
      <w:proofErr w:type="spellStart"/>
      <w:r w:rsidRPr="00CE0106">
        <w:rPr>
          <w:color w:val="000000"/>
        </w:rPr>
        <w:t>ranking</w:t>
      </w:r>
      <w:proofErr w:type="spellEnd"/>
      <w:r w:rsidRPr="00CE0106">
        <w:rPr>
          <w:color w:val="000000"/>
        </w:rPr>
        <w:t xml:space="preserve"> (pořadí)? </w:t>
      </w:r>
    </w:p>
    <w:p w:rsidR="00CE0106" w:rsidRPr="00CE0106" w:rsidRDefault="00CE0106" w:rsidP="00CE0106">
      <w:pPr>
        <w:rPr>
          <w:color w:val="000000"/>
        </w:rPr>
      </w:pPr>
      <w:r w:rsidRPr="00CE0106">
        <w:rPr>
          <w:color w:val="000000"/>
        </w:rPr>
        <w:t>-</w:t>
      </w:r>
      <w:r w:rsidR="00DD09D2">
        <w:rPr>
          <w:color w:val="000000"/>
        </w:rPr>
        <w:t xml:space="preserve"> </w:t>
      </w:r>
      <w:r w:rsidRPr="00CE0106">
        <w:rPr>
          <w:color w:val="000000"/>
        </w:rPr>
        <w:t xml:space="preserve">kontexty </w:t>
      </w:r>
    </w:p>
    <w:p w:rsidR="00CE0106" w:rsidRPr="00CE0106" w:rsidRDefault="00CE0106" w:rsidP="00CE0106">
      <w:pPr>
        <w:rPr>
          <w:color w:val="000000"/>
        </w:rPr>
      </w:pPr>
      <w:r w:rsidRPr="00CE0106">
        <w:rPr>
          <w:color w:val="000000"/>
        </w:rPr>
        <w:t>-</w:t>
      </w:r>
      <w:r w:rsidR="00DD09D2">
        <w:rPr>
          <w:color w:val="000000"/>
        </w:rPr>
        <w:t xml:space="preserve"> </w:t>
      </w:r>
      <w:r w:rsidRPr="00CE0106">
        <w:rPr>
          <w:color w:val="000000"/>
        </w:rPr>
        <w:t>interpretace (poslední v pořadí neznamená odmítnutí!)</w:t>
      </w:r>
    </w:p>
    <w:p w:rsidR="00CE0106" w:rsidRDefault="00CE0106" w:rsidP="00CE0106">
      <w:pPr>
        <w:rPr>
          <w:color w:val="000000"/>
        </w:rPr>
      </w:pPr>
    </w:p>
    <w:p w:rsidR="00DD09D2" w:rsidRPr="00CE0106" w:rsidRDefault="00DD09D2" w:rsidP="00CE0106">
      <w:pPr>
        <w:rPr>
          <w:color w:val="000000"/>
        </w:rPr>
      </w:pPr>
    </w:p>
    <w:p w:rsidR="00CE0106" w:rsidRDefault="00CE0106" w:rsidP="00DD09D2">
      <w:pPr>
        <w:jc w:val="center"/>
        <w:rPr>
          <w:b/>
          <w:color w:val="FF0000"/>
        </w:rPr>
      </w:pPr>
      <w:r w:rsidRPr="00DD09D2">
        <w:rPr>
          <w:b/>
          <w:color w:val="FF0000"/>
        </w:rPr>
        <w:t>Změny po r. 1990</w:t>
      </w:r>
    </w:p>
    <w:p w:rsidR="00DD09D2" w:rsidRDefault="00DD09D2" w:rsidP="00DD09D2">
      <w:pPr>
        <w:ind w:left="284" w:hanging="284"/>
        <w:jc w:val="center"/>
        <w:rPr>
          <w:b/>
          <w:color w:val="FF0000"/>
        </w:rPr>
      </w:pPr>
    </w:p>
    <w:p w:rsidR="00DD09D2" w:rsidRPr="00CE0106" w:rsidRDefault="00DD09D2" w:rsidP="00DD09D2">
      <w:pPr>
        <w:numPr>
          <w:ilvl w:val="0"/>
          <w:numId w:val="3"/>
        </w:numPr>
        <w:ind w:left="284" w:hanging="284"/>
        <w:rPr>
          <w:color w:val="000000"/>
        </w:rPr>
      </w:pPr>
      <w:r w:rsidRPr="00CE0106">
        <w:rPr>
          <w:color w:val="000000"/>
        </w:rPr>
        <w:t xml:space="preserve">Mírný posun postojů ve prospěch </w:t>
      </w:r>
      <w:r w:rsidRPr="00DD09D2">
        <w:rPr>
          <w:color w:val="E36C0A" w:themeColor="accent6" w:themeShade="BF"/>
        </w:rPr>
        <w:t>tržních principů</w:t>
      </w:r>
      <w:r w:rsidRPr="00CE0106">
        <w:rPr>
          <w:color w:val="000000"/>
        </w:rPr>
        <w:t xml:space="preserve"> (jistoty práce) neznamená </w:t>
      </w:r>
      <w:r w:rsidRPr="00CE0106">
        <w:rPr>
          <w:color w:val="000000"/>
          <w:u w:val="single"/>
        </w:rPr>
        <w:t>automatické</w:t>
      </w:r>
      <w:r w:rsidRPr="00CE0106">
        <w:rPr>
          <w:color w:val="000000"/>
        </w:rPr>
        <w:t xml:space="preserve"> posilování výkonových principů na úkor životních jistot. </w:t>
      </w:r>
    </w:p>
    <w:p w:rsidR="00DD09D2" w:rsidRPr="00CE0106" w:rsidRDefault="00DD09D2" w:rsidP="00DD09D2">
      <w:pPr>
        <w:ind w:left="284" w:hanging="284"/>
        <w:rPr>
          <w:color w:val="000000"/>
        </w:rPr>
      </w:pPr>
      <w:r w:rsidRPr="00CE0106">
        <w:rPr>
          <w:color w:val="000000"/>
        </w:rPr>
        <w:tab/>
        <w:t xml:space="preserve">Varianty:                                                    </w:t>
      </w:r>
      <w:r w:rsidRPr="00CE0106">
        <w:rPr>
          <w:color w:val="000000"/>
        </w:rPr>
        <w:tab/>
        <w:t xml:space="preserve">             </w:t>
      </w:r>
      <w:r>
        <w:rPr>
          <w:color w:val="000000"/>
        </w:rPr>
        <w:tab/>
      </w:r>
      <w:r w:rsidRPr="00CE0106">
        <w:rPr>
          <w:color w:val="000000"/>
        </w:rPr>
        <w:t>1993   2001   2003</w:t>
      </w:r>
    </w:p>
    <w:p w:rsidR="00DD09D2" w:rsidRPr="00CE0106" w:rsidRDefault="00DD09D2" w:rsidP="00DD09D2">
      <w:pPr>
        <w:ind w:left="284" w:hanging="284"/>
        <w:rPr>
          <w:color w:val="000000"/>
        </w:rPr>
      </w:pPr>
      <w:r w:rsidRPr="00CE0106">
        <w:rPr>
          <w:color w:val="000000"/>
        </w:rPr>
        <w:tab/>
        <w:t xml:space="preserve">a. Dostatek klidu, dobré vyhlídky do budoucna </w:t>
      </w:r>
    </w:p>
    <w:p w:rsidR="00DD09D2" w:rsidRPr="00CE0106" w:rsidRDefault="00DD09D2" w:rsidP="00DD09D2">
      <w:pPr>
        <w:ind w:left="284" w:hanging="284"/>
        <w:rPr>
          <w:color w:val="000000"/>
        </w:rPr>
      </w:pPr>
      <w:r w:rsidRPr="00CE0106">
        <w:rPr>
          <w:color w:val="000000"/>
        </w:rPr>
        <w:t xml:space="preserve">           a poněkud nižší plat </w:t>
      </w:r>
      <w:r w:rsidRPr="00CE0106">
        <w:rPr>
          <w:color w:val="000000"/>
        </w:rPr>
        <w:tab/>
      </w:r>
      <w:r w:rsidRPr="00CE0106">
        <w:rPr>
          <w:color w:val="000000"/>
        </w:rPr>
        <w:tab/>
      </w:r>
      <w:r w:rsidRPr="00CE0106">
        <w:rPr>
          <w:color w:val="000000"/>
        </w:rPr>
        <w:tab/>
      </w:r>
      <w:r w:rsidRPr="00CE0106">
        <w:rPr>
          <w:color w:val="000000"/>
        </w:rPr>
        <w:tab/>
      </w:r>
      <w:r w:rsidRPr="00CE0106">
        <w:rPr>
          <w:color w:val="000000"/>
        </w:rPr>
        <w:tab/>
      </w:r>
      <w:r w:rsidRPr="00CE0106">
        <w:rPr>
          <w:color w:val="000000"/>
        </w:rPr>
        <w:tab/>
        <w:t>58</w:t>
      </w:r>
      <w:r w:rsidRPr="00CE0106">
        <w:rPr>
          <w:color w:val="000000"/>
        </w:rPr>
        <w:tab/>
        <w:t>59</w:t>
      </w:r>
      <w:r w:rsidRPr="00CE0106">
        <w:rPr>
          <w:color w:val="000000"/>
        </w:rPr>
        <w:tab/>
        <w:t>56</w:t>
      </w:r>
    </w:p>
    <w:p w:rsidR="00DD09D2" w:rsidRPr="00CE0106" w:rsidRDefault="00DD09D2" w:rsidP="00DD09D2">
      <w:pPr>
        <w:ind w:left="284" w:hanging="284"/>
        <w:rPr>
          <w:color w:val="000000"/>
        </w:rPr>
      </w:pPr>
      <w:r w:rsidRPr="00CE0106">
        <w:rPr>
          <w:color w:val="000000"/>
        </w:rPr>
        <w:tab/>
      </w:r>
      <w:proofErr w:type="spellStart"/>
      <w:r w:rsidRPr="00CE0106">
        <w:rPr>
          <w:color w:val="000000"/>
        </w:rPr>
        <w:t>b</w:t>
      </w:r>
      <w:proofErr w:type="spellEnd"/>
      <w:r w:rsidRPr="00CE0106">
        <w:rPr>
          <w:color w:val="000000"/>
        </w:rPr>
        <w:t xml:space="preserve">. Dobrý plat za cenu méně klidné práce bez </w:t>
      </w:r>
    </w:p>
    <w:p w:rsidR="00DD09D2" w:rsidRPr="00CE0106" w:rsidRDefault="00DD09D2" w:rsidP="00DD09D2">
      <w:pPr>
        <w:ind w:left="284" w:hanging="284"/>
        <w:rPr>
          <w:color w:val="000000"/>
        </w:rPr>
      </w:pPr>
      <w:r w:rsidRPr="00CE0106">
        <w:rPr>
          <w:color w:val="000000"/>
        </w:rPr>
        <w:t xml:space="preserve">           trvale dobrých vyhlídek do budoucna</w:t>
      </w:r>
      <w:r w:rsidRPr="00CE0106">
        <w:rPr>
          <w:color w:val="000000"/>
        </w:rPr>
        <w:tab/>
      </w:r>
      <w:r w:rsidRPr="00CE0106">
        <w:rPr>
          <w:color w:val="000000"/>
        </w:rPr>
        <w:tab/>
      </w:r>
      <w:r w:rsidRPr="00CE0106">
        <w:rPr>
          <w:color w:val="000000"/>
        </w:rPr>
        <w:tab/>
      </w:r>
      <w:r w:rsidRPr="00CE0106">
        <w:rPr>
          <w:color w:val="000000"/>
        </w:rPr>
        <w:tab/>
        <w:t>42</w:t>
      </w:r>
      <w:r w:rsidRPr="00CE0106">
        <w:rPr>
          <w:color w:val="000000"/>
        </w:rPr>
        <w:tab/>
        <w:t>41</w:t>
      </w:r>
      <w:r w:rsidRPr="00CE0106">
        <w:rPr>
          <w:color w:val="000000"/>
        </w:rPr>
        <w:tab/>
        <w:t>44</w:t>
      </w:r>
    </w:p>
    <w:p w:rsidR="00DD09D2" w:rsidRPr="00CE0106" w:rsidRDefault="00DD09D2" w:rsidP="00DD09D2">
      <w:pPr>
        <w:ind w:left="284" w:hanging="284"/>
        <w:rPr>
          <w:color w:val="000000"/>
        </w:rPr>
      </w:pPr>
      <w:r w:rsidRPr="00CE0106">
        <w:rPr>
          <w:color w:val="000000"/>
        </w:rPr>
        <w:tab/>
        <w:t xml:space="preserve">Opačné pořadí („plat“) upřednostňují jen podnikatelé </w:t>
      </w:r>
    </w:p>
    <w:p w:rsidR="00DD09D2" w:rsidRPr="00CE0106" w:rsidRDefault="00DD09D2" w:rsidP="00DD09D2">
      <w:pPr>
        <w:ind w:left="284" w:hanging="284"/>
        <w:rPr>
          <w:color w:val="000000"/>
        </w:rPr>
      </w:pPr>
    </w:p>
    <w:p w:rsidR="00DD09D2" w:rsidRPr="00CE0106" w:rsidRDefault="00DD09D2" w:rsidP="00DD09D2">
      <w:pPr>
        <w:numPr>
          <w:ilvl w:val="0"/>
          <w:numId w:val="4"/>
        </w:numPr>
        <w:ind w:left="284" w:hanging="284"/>
        <w:rPr>
          <w:color w:val="000000"/>
        </w:rPr>
      </w:pPr>
      <w:r w:rsidRPr="00CE0106">
        <w:rPr>
          <w:color w:val="000000"/>
        </w:rPr>
        <w:t xml:space="preserve"> Polarizace společnosti v hodnocení </w:t>
      </w:r>
      <w:r w:rsidRPr="00DD09D2">
        <w:rPr>
          <w:color w:val="E36C0A" w:themeColor="accent6" w:themeShade="BF"/>
        </w:rPr>
        <w:t>odpovědnosti a výkonu</w:t>
      </w:r>
      <w:r w:rsidRPr="00CE0106">
        <w:rPr>
          <w:color w:val="000000"/>
        </w:rPr>
        <w:t xml:space="preserve"> - vyšší kvalifikace = vědomí vyšší odpovědnosti a potřeby výkonu </w:t>
      </w:r>
      <w:r w:rsidRPr="00CE0106">
        <w:rPr>
          <w:i/>
          <w:iCs/>
          <w:color w:val="000000"/>
        </w:rPr>
        <w:t>a naopak</w:t>
      </w:r>
    </w:p>
    <w:p w:rsidR="00DD09D2" w:rsidRPr="00DD09D2" w:rsidRDefault="00DD09D2" w:rsidP="00DD09D2">
      <w:pPr>
        <w:ind w:left="284" w:hanging="284"/>
        <w:jc w:val="center"/>
        <w:rPr>
          <w:b/>
          <w:color w:val="FF0000"/>
        </w:rPr>
      </w:pPr>
    </w:p>
    <w:p w:rsidR="00CE0106" w:rsidRPr="00CE0106" w:rsidRDefault="00CE0106" w:rsidP="00DD09D2">
      <w:pPr>
        <w:numPr>
          <w:ilvl w:val="0"/>
          <w:numId w:val="2"/>
        </w:numPr>
        <w:ind w:left="284" w:hanging="284"/>
        <w:rPr>
          <w:color w:val="000000"/>
        </w:rPr>
      </w:pPr>
      <w:r w:rsidRPr="00CE0106">
        <w:rPr>
          <w:color w:val="000000"/>
        </w:rPr>
        <w:t xml:space="preserve"> Růst významu</w:t>
      </w:r>
      <w:r w:rsidRPr="00DD09D2">
        <w:rPr>
          <w:color w:val="E36C0A" w:themeColor="accent6" w:themeShade="BF"/>
        </w:rPr>
        <w:t xml:space="preserve"> jistoty zaměstnání</w:t>
      </w:r>
    </w:p>
    <w:p w:rsidR="00CE0106" w:rsidRPr="00CE0106" w:rsidRDefault="00CE0106" w:rsidP="00DD09D2">
      <w:pPr>
        <w:ind w:left="284" w:hanging="284"/>
        <w:rPr>
          <w:color w:val="000000"/>
        </w:rPr>
      </w:pPr>
      <w:r w:rsidRPr="00CE0106">
        <w:rPr>
          <w:color w:val="000000"/>
        </w:rPr>
        <w:tab/>
        <w:t xml:space="preserve">Závislost na sociálně ekonomickém postavení </w:t>
      </w:r>
      <w:r w:rsidR="00DD09D2">
        <w:rPr>
          <w:color w:val="000000"/>
        </w:rPr>
        <w:t>(</w:t>
      </w:r>
      <w:r w:rsidRPr="00CE0106">
        <w:rPr>
          <w:color w:val="000000"/>
        </w:rPr>
        <w:t>čím je práce méně kvalifikovaná, tím důležitější hodnotou se jistota zaměstnání stává</w:t>
      </w:r>
      <w:r w:rsidR="00DD09D2">
        <w:rPr>
          <w:color w:val="000000"/>
        </w:rPr>
        <w:t>) a situace na trhu práce (jiná je v časech recese, jiná v časech konjunktury)</w:t>
      </w:r>
      <w:r w:rsidRPr="00CE0106">
        <w:rPr>
          <w:color w:val="000000"/>
        </w:rPr>
        <w:t xml:space="preserve">. </w:t>
      </w:r>
    </w:p>
    <w:p w:rsidR="00CE0106" w:rsidRPr="00CE0106" w:rsidRDefault="00CE0106" w:rsidP="00CE0106">
      <w:pPr>
        <w:rPr>
          <w:color w:val="000000"/>
        </w:rPr>
      </w:pPr>
      <w:r w:rsidRPr="00CE0106">
        <w:rPr>
          <w:color w:val="000000"/>
        </w:rPr>
        <w:tab/>
        <w:t xml:space="preserve">U všech skupin s výjimkou podnikatelů je ji připisována větší důležitost než příjmu, u dělníků a rutinních nemanuálních pracovníků je důležitější než obsah vlastní práce. </w:t>
      </w:r>
    </w:p>
    <w:p w:rsidR="00CE0106" w:rsidRPr="00CE0106" w:rsidRDefault="00CE0106" w:rsidP="00CE0106">
      <w:pPr>
        <w:rPr>
          <w:color w:val="000000"/>
        </w:rPr>
      </w:pPr>
      <w:r w:rsidRPr="00CE0106">
        <w:rPr>
          <w:color w:val="000000"/>
        </w:rPr>
        <w:t>Operacionalizace jistoty zaměstnání – pro podnikatele znamená něco jiného než pro manuálně pracující</w:t>
      </w:r>
    </w:p>
    <w:p w:rsidR="00CE0106" w:rsidRPr="00DD09D2" w:rsidRDefault="00CE0106" w:rsidP="00CE0106">
      <w:pPr>
        <w:jc w:val="center"/>
        <w:rPr>
          <w:rFonts w:eastAsia="Arial Unicode MS"/>
          <w:vanish/>
          <w:color w:val="000000" w:themeColor="text1"/>
        </w:rPr>
      </w:pPr>
      <w:r w:rsidRPr="00DD09D2">
        <w:rPr>
          <w:b/>
          <w:iCs/>
          <w:color w:val="000000" w:themeColor="text1"/>
        </w:rPr>
        <w:lastRenderedPageBreak/>
        <w:t xml:space="preserve">Vybrané hodnoty práce podle </w:t>
      </w:r>
      <w:proofErr w:type="spellStart"/>
      <w:r w:rsidRPr="00DD09D2">
        <w:rPr>
          <w:b/>
          <w:iCs/>
          <w:color w:val="000000" w:themeColor="text1"/>
        </w:rPr>
        <w:t>soc</w:t>
      </w:r>
      <w:proofErr w:type="spellEnd"/>
      <w:r w:rsidRPr="00DD09D2">
        <w:rPr>
          <w:b/>
          <w:iCs/>
          <w:color w:val="000000" w:themeColor="text1"/>
        </w:rPr>
        <w:t xml:space="preserve">. </w:t>
      </w:r>
      <w:proofErr w:type="spellStart"/>
      <w:r w:rsidRPr="00DD09D2">
        <w:rPr>
          <w:b/>
          <w:iCs/>
          <w:color w:val="000000" w:themeColor="text1"/>
        </w:rPr>
        <w:t>ekon</w:t>
      </w:r>
      <w:proofErr w:type="spellEnd"/>
      <w:r w:rsidRPr="00DD09D2">
        <w:rPr>
          <w:b/>
          <w:iCs/>
          <w:color w:val="000000" w:themeColor="text1"/>
        </w:rPr>
        <w:t xml:space="preserve">. postavení </w:t>
      </w:r>
      <w:r w:rsidRPr="00DD09D2">
        <w:rPr>
          <w:i/>
          <w:iCs/>
          <w:color w:val="000000" w:themeColor="text1"/>
        </w:rPr>
        <w:br/>
        <w:t>(Ø na škále 1 = nejdůležitější, 5 = nejméně důležité)</w:t>
      </w:r>
    </w:p>
    <w:p w:rsidR="00CE0106" w:rsidRPr="00DD09D2" w:rsidRDefault="00CE0106" w:rsidP="00CE0106">
      <w:pPr>
        <w:jc w:val="center"/>
        <w:rPr>
          <w:color w:val="000000" w:themeColor="text1"/>
        </w:rPr>
      </w:pPr>
    </w:p>
    <w:p w:rsidR="00CE0106" w:rsidRPr="00CE0106" w:rsidRDefault="00CE0106" w:rsidP="00CE0106">
      <w:pPr>
        <w:rPr>
          <w:vanish/>
          <w:color w:val="000000"/>
        </w:rPr>
      </w:pPr>
      <w:r w:rsidRPr="00CE0106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5894705" cy="3715385"/>
            <wp:effectExtent l="19050" t="0" r="10795" b="0"/>
            <wp:wrapTopAndBottom/>
            <wp:docPr id="4" name="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CE0106" w:rsidRPr="00CE0106" w:rsidRDefault="00CE0106" w:rsidP="00CE0106">
      <w:pPr>
        <w:rPr>
          <w:color w:val="000000"/>
        </w:rPr>
      </w:pPr>
    </w:p>
    <w:p w:rsidR="00DD09D2" w:rsidRDefault="00DD09D2" w:rsidP="00DD09D2">
      <w:pPr>
        <w:ind w:left="720"/>
        <w:rPr>
          <w:color w:val="000000"/>
        </w:rPr>
      </w:pPr>
    </w:p>
    <w:p w:rsidR="00CE0106" w:rsidRPr="00DD09D2" w:rsidRDefault="00CE0106" w:rsidP="00DD09D2">
      <w:pPr>
        <w:rPr>
          <w:rFonts w:eastAsia="Arial Unicode MS"/>
          <w:b/>
          <w:vanish/>
          <w:color w:val="000000" w:themeColor="text1"/>
        </w:rPr>
      </w:pPr>
      <w:r w:rsidRPr="00DD09D2">
        <w:rPr>
          <w:b/>
          <w:color w:val="000000"/>
        </w:rPr>
        <w:tab/>
      </w:r>
      <w:r w:rsidR="00DD09D2">
        <w:rPr>
          <w:b/>
          <w:color w:val="000000"/>
        </w:rPr>
        <w:t xml:space="preserve">   </w:t>
      </w:r>
      <w:r w:rsidRPr="00DD09D2">
        <w:rPr>
          <w:b/>
          <w:color w:val="000000"/>
        </w:rPr>
        <w:tab/>
      </w:r>
      <w:r w:rsidRPr="00DD09D2">
        <w:rPr>
          <w:b/>
          <w:color w:val="000000"/>
        </w:rPr>
        <w:tab/>
      </w:r>
      <w:r w:rsidR="00DD09D2">
        <w:rPr>
          <w:b/>
          <w:color w:val="000000"/>
        </w:rPr>
        <w:t xml:space="preserve">       </w:t>
      </w:r>
      <w:r w:rsidRPr="00DD09D2">
        <w:rPr>
          <w:b/>
          <w:color w:val="000000" w:themeColor="text1"/>
        </w:rPr>
        <w:t xml:space="preserve">Pořadí individuálních hodnot </w:t>
      </w:r>
      <w:r w:rsidRPr="00DD09D2">
        <w:rPr>
          <w:b/>
          <w:i/>
          <w:iCs/>
          <w:color w:val="000000" w:themeColor="text1"/>
        </w:rPr>
        <w:t>(Aktér 2001)</w:t>
      </w:r>
    </w:p>
    <w:p w:rsidR="00CE0106" w:rsidRPr="00DD09D2" w:rsidRDefault="00CE0106" w:rsidP="00CE0106">
      <w:pPr>
        <w:jc w:val="center"/>
        <w:rPr>
          <w:b/>
          <w:color w:val="000000" w:themeColor="text1"/>
        </w:rPr>
      </w:pPr>
    </w:p>
    <w:p w:rsidR="00CE0106" w:rsidRPr="00CE0106" w:rsidRDefault="00CE0106" w:rsidP="00CE0106">
      <w:pPr>
        <w:rPr>
          <w:color w:val="FF9900"/>
        </w:rPr>
      </w:pPr>
      <w:r w:rsidRPr="00CE0106">
        <w:rPr>
          <w:noProof/>
          <w:color w:val="FF99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6057900" cy="44100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CE0106" w:rsidRPr="00CE0106" w:rsidRDefault="00CE0106" w:rsidP="00CE0106">
      <w:pPr>
        <w:rPr>
          <w:color w:val="FF9900"/>
        </w:rPr>
      </w:pPr>
    </w:p>
    <w:p w:rsidR="00DD09D2" w:rsidRDefault="00DD09D2" w:rsidP="00CE0106">
      <w:pPr>
        <w:rPr>
          <w:color w:val="FF9900"/>
        </w:rPr>
      </w:pPr>
    </w:p>
    <w:p w:rsidR="00DD09D2" w:rsidRDefault="00DD09D2" w:rsidP="00CE0106">
      <w:pPr>
        <w:rPr>
          <w:color w:val="FF9900"/>
        </w:rPr>
      </w:pPr>
    </w:p>
    <w:p w:rsidR="00DD09D2" w:rsidRDefault="00DD09D2" w:rsidP="00CE0106">
      <w:pPr>
        <w:rPr>
          <w:color w:val="FF9900"/>
        </w:rPr>
      </w:pPr>
    </w:p>
    <w:p w:rsidR="00DD09D2" w:rsidRDefault="00CE0106" w:rsidP="00CE0106">
      <w:pPr>
        <w:rPr>
          <w:color w:val="FF9900"/>
        </w:rPr>
      </w:pPr>
      <w:r w:rsidRPr="00CE0106">
        <w:rPr>
          <w:color w:val="FF9900"/>
        </w:rPr>
        <w:lastRenderedPageBreak/>
        <w:t>Interpretace</w:t>
      </w:r>
    </w:p>
    <w:p w:rsidR="00CE0106" w:rsidRPr="00CE0106" w:rsidRDefault="00DD09D2" w:rsidP="00CE0106">
      <w:pPr>
        <w:rPr>
          <w:color w:val="000000"/>
        </w:rPr>
      </w:pPr>
      <w:r>
        <w:rPr>
          <w:color w:val="000000"/>
        </w:rPr>
        <w:t>Z</w:t>
      </w:r>
      <w:r w:rsidR="00CE0106" w:rsidRPr="00CE0106">
        <w:rPr>
          <w:color w:val="000000"/>
        </w:rPr>
        <w:t xml:space="preserve">e srovnání obou pořadí vyplývá: </w:t>
      </w:r>
    </w:p>
    <w:p w:rsidR="00CE0106" w:rsidRPr="00CE0106" w:rsidRDefault="00DD09D2" w:rsidP="00DD09D2">
      <w:pPr>
        <w:ind w:left="284" w:hanging="284"/>
        <w:rPr>
          <w:rFonts w:eastAsia="Arial Unicode MS"/>
          <w:i/>
          <w:iCs/>
          <w:color w:val="000000"/>
        </w:rPr>
      </w:pPr>
      <w:r>
        <w:rPr>
          <w:color w:val="000000"/>
        </w:rPr>
        <w:t>N</w:t>
      </w:r>
      <w:r w:rsidR="00CE0106" w:rsidRPr="00CE0106">
        <w:rPr>
          <w:color w:val="000000"/>
        </w:rPr>
        <w:t xml:space="preserve">ejvětší </w:t>
      </w:r>
      <w:r w:rsidR="00CE0106" w:rsidRPr="00CE0106">
        <w:rPr>
          <w:color w:val="000000"/>
          <w:u w:val="single"/>
        </w:rPr>
        <w:t>záporný</w:t>
      </w:r>
      <w:r w:rsidR="00CE0106" w:rsidRPr="00CE0106">
        <w:rPr>
          <w:color w:val="000000"/>
        </w:rPr>
        <w:t xml:space="preserve"> rozdíl mezi důležitostí a dostupností práce </w:t>
      </w:r>
      <w:r w:rsidR="00CE0106" w:rsidRPr="00CE0106">
        <w:rPr>
          <w:i/>
          <w:iCs/>
          <w:color w:val="000000"/>
        </w:rPr>
        <w:t>(mít zajímavou a užitečnou práci)</w:t>
      </w:r>
      <w:r w:rsidR="00CE0106" w:rsidRPr="00CE0106">
        <w:rPr>
          <w:color w:val="000000"/>
        </w:rPr>
        <w:t xml:space="preserve"> a volného času</w:t>
      </w:r>
      <w:r w:rsidR="00CE0106" w:rsidRPr="00CE0106">
        <w:rPr>
          <w:i/>
          <w:iCs/>
          <w:color w:val="000000"/>
        </w:rPr>
        <w:t xml:space="preserve"> (mít čas na vlastní zájmy a koníčky)</w:t>
      </w:r>
    </w:p>
    <w:p w:rsidR="00CE0106" w:rsidRPr="00CE0106" w:rsidRDefault="00DD09D2" w:rsidP="00DD09D2">
      <w:pPr>
        <w:ind w:left="284" w:hanging="284"/>
        <w:rPr>
          <w:i/>
          <w:iCs/>
          <w:color w:val="000000"/>
        </w:rPr>
      </w:pPr>
      <w:r>
        <w:rPr>
          <w:color w:val="000000"/>
        </w:rPr>
        <w:t>N</w:t>
      </w:r>
      <w:r w:rsidR="00CE0106" w:rsidRPr="00CE0106">
        <w:rPr>
          <w:color w:val="000000"/>
        </w:rPr>
        <w:t xml:space="preserve">ejvětší </w:t>
      </w:r>
      <w:r w:rsidR="00CE0106" w:rsidRPr="00CE0106">
        <w:rPr>
          <w:color w:val="000000"/>
          <w:u w:val="single"/>
        </w:rPr>
        <w:t>kladný</w:t>
      </w:r>
      <w:r w:rsidR="00CE0106" w:rsidRPr="00CE0106">
        <w:rPr>
          <w:color w:val="000000"/>
        </w:rPr>
        <w:t xml:space="preserve"> rozdíl mezi důležitostí a dostupností citového vztahu </w:t>
      </w:r>
      <w:r w:rsidR="00CE0106" w:rsidRPr="00CE0106">
        <w:rPr>
          <w:i/>
          <w:iCs/>
          <w:color w:val="000000"/>
        </w:rPr>
        <w:t>(prožít hluboký emocionální nebo sexuální vztah)</w:t>
      </w:r>
    </w:p>
    <w:p w:rsidR="00DD09D2" w:rsidRDefault="00DD09D2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  <w:r w:rsidRPr="00CE0106">
        <w:rPr>
          <w:color w:val="000000"/>
        </w:rPr>
        <w:t>Vlivy: pohlaví (viz graf)</w:t>
      </w:r>
    </w:p>
    <w:p w:rsidR="00CE0106" w:rsidRPr="00CE0106" w:rsidRDefault="004C3646" w:rsidP="00CE0106">
      <w:pPr>
        <w:rPr>
          <w:color w:val="000000"/>
        </w:rPr>
      </w:pPr>
      <w:r>
        <w:rPr>
          <w:color w:val="000000"/>
        </w:rPr>
        <w:t xml:space="preserve">           </w:t>
      </w:r>
      <w:r w:rsidR="00CE0106" w:rsidRPr="00CE0106">
        <w:rPr>
          <w:color w:val="000000"/>
        </w:rPr>
        <w:t>věk – vliv fází životního cyklu</w:t>
      </w:r>
    </w:p>
    <w:p w:rsidR="004C3646" w:rsidRDefault="004C3646" w:rsidP="004C3646">
      <w:pPr>
        <w:rPr>
          <w:color w:val="000000"/>
        </w:rPr>
      </w:pPr>
      <w:r>
        <w:rPr>
          <w:color w:val="000000"/>
        </w:rPr>
        <w:t xml:space="preserve">           </w:t>
      </w:r>
      <w:r w:rsidR="00CE0106" w:rsidRPr="00CE0106">
        <w:rPr>
          <w:color w:val="000000"/>
        </w:rPr>
        <w:t xml:space="preserve">dostupnost – vliv materiální situace (chudším jsou méně dostupné hodnoty cestování, pohodlí a </w:t>
      </w:r>
    </w:p>
    <w:p w:rsidR="00CE0106" w:rsidRPr="00CE0106" w:rsidRDefault="00CE0106" w:rsidP="004C3646">
      <w:pPr>
        <w:ind w:left="708" w:firstLine="708"/>
        <w:rPr>
          <w:color w:val="000000"/>
        </w:rPr>
      </w:pPr>
      <w:r w:rsidRPr="00CE0106">
        <w:rPr>
          <w:color w:val="000000"/>
        </w:rPr>
        <w:t xml:space="preserve">vzdělání) </w:t>
      </w:r>
    </w:p>
    <w:p w:rsidR="00CE0106" w:rsidRPr="00CE0106" w:rsidRDefault="00CE0106" w:rsidP="00CE0106"/>
    <w:p w:rsidR="00CE0106" w:rsidRPr="00DD09D2" w:rsidRDefault="00CE0106" w:rsidP="00CE0106">
      <w:pPr>
        <w:pStyle w:val="Nadpis4"/>
        <w:keepNext w:val="0"/>
        <w:widowControl w:val="0"/>
        <w:rPr>
          <w:rFonts w:eastAsia="Arial Unicode MS"/>
          <w:b/>
          <w:vanish/>
          <w:color w:val="000000" w:themeColor="text1"/>
          <w:sz w:val="24"/>
          <w:szCs w:val="24"/>
        </w:rPr>
      </w:pPr>
      <w:r w:rsidRPr="00DD09D2">
        <w:rPr>
          <w:b/>
          <w:color w:val="000000" w:themeColor="text1"/>
          <w:sz w:val="24"/>
          <w:szCs w:val="24"/>
        </w:rPr>
        <w:t>Pořadí individuálních hodnot podle pohlaví</w:t>
      </w:r>
    </w:p>
    <w:p w:rsidR="00CE0106" w:rsidRPr="00DD09D2" w:rsidRDefault="00CE0106" w:rsidP="00CE0106">
      <w:pPr>
        <w:widowControl w:val="0"/>
        <w:rPr>
          <w:b/>
          <w:color w:val="000000" w:themeColor="text1"/>
        </w:rPr>
      </w:pPr>
    </w:p>
    <w:p w:rsidR="00CE0106" w:rsidRPr="00CE0106" w:rsidRDefault="00CE0106" w:rsidP="00CE0106">
      <w:pPr>
        <w:widowControl w:val="0"/>
        <w:rPr>
          <w:color w:val="000000"/>
        </w:rPr>
      </w:pPr>
      <w:r w:rsidRPr="00CE0106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80010</wp:posOffset>
            </wp:positionV>
            <wp:extent cx="6057900" cy="417639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7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E0106" w:rsidRPr="00CE0106" w:rsidRDefault="00CE0106" w:rsidP="00CE0106">
      <w:pPr>
        <w:widowControl w:val="0"/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CE0106" w:rsidRPr="00CE0106" w:rsidRDefault="00CE0106" w:rsidP="00CE0106">
      <w:pPr>
        <w:rPr>
          <w:color w:val="000000"/>
        </w:rPr>
      </w:pPr>
    </w:p>
    <w:p w:rsidR="00340FE9" w:rsidRPr="00CE0106" w:rsidRDefault="00340FE9"/>
    <w:sectPr w:rsidR="00340FE9" w:rsidRPr="00CE0106" w:rsidSect="00CE010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4A8"/>
    <w:multiLevelType w:val="hybridMultilevel"/>
    <w:tmpl w:val="E69EF076"/>
    <w:lvl w:ilvl="0" w:tplc="799A7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2B2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02A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E30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E7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C2B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43B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E58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830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064F60"/>
    <w:multiLevelType w:val="hybridMultilevel"/>
    <w:tmpl w:val="9A1E0F26"/>
    <w:lvl w:ilvl="0" w:tplc="967CAB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4BF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CC0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8AA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287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014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CB4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4BE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AE6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97682F"/>
    <w:multiLevelType w:val="hybridMultilevel"/>
    <w:tmpl w:val="27F8B302"/>
    <w:lvl w:ilvl="0" w:tplc="C3064B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2D3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882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AE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7095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2A5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EAE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6BA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104F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F97656"/>
    <w:multiLevelType w:val="hybridMultilevel"/>
    <w:tmpl w:val="22DE0FC0"/>
    <w:lvl w:ilvl="0" w:tplc="AFB8A3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EC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89F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C42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E4B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68D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CF8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60A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AF7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CE0106"/>
    <w:rsid w:val="00340FE9"/>
    <w:rsid w:val="004C3646"/>
    <w:rsid w:val="00B10373"/>
    <w:rsid w:val="00CE0106"/>
    <w:rsid w:val="00D8761E"/>
    <w:rsid w:val="00DD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106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0106"/>
    <w:pPr>
      <w:autoSpaceDE w:val="0"/>
      <w:autoSpaceDN w:val="0"/>
      <w:adjustRightInd w:val="0"/>
      <w:jc w:val="center"/>
      <w:outlineLvl w:val="0"/>
    </w:pPr>
    <w:rPr>
      <w:color w:val="FF0000"/>
      <w:sz w:val="44"/>
      <w:szCs w:val="44"/>
    </w:rPr>
  </w:style>
  <w:style w:type="paragraph" w:styleId="Nadpis4">
    <w:name w:val="heading 4"/>
    <w:basedOn w:val="Normln"/>
    <w:next w:val="Normln"/>
    <w:link w:val="Nadpis4Char"/>
    <w:qFormat/>
    <w:rsid w:val="00CE0106"/>
    <w:pPr>
      <w:keepNext/>
      <w:jc w:val="center"/>
      <w:outlineLvl w:val="3"/>
    </w:pPr>
    <w:rPr>
      <w:color w:val="FF000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0106"/>
    <w:rPr>
      <w:rFonts w:eastAsia="Times New Roman" w:cs="Times New Roman"/>
      <w:color w:val="FF0000"/>
      <w:sz w:val="44"/>
      <w:szCs w:val="44"/>
      <w:lang w:eastAsia="cs-CZ"/>
    </w:rPr>
  </w:style>
  <w:style w:type="character" w:customStyle="1" w:styleId="Nadpis4Char">
    <w:name w:val="Nadpis 4 Char"/>
    <w:basedOn w:val="Standardnpsmoodstavce"/>
    <w:link w:val="Nadpis4"/>
    <w:rsid w:val="00CE0106"/>
    <w:rPr>
      <w:rFonts w:eastAsia="Times New Roman" w:cs="Times New Roman"/>
      <w:color w:val="FF0000"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2216748768472907"/>
          <c:y val="2.8947368421052645E-2"/>
          <c:w val="0.74876847290640414"/>
          <c:h val="0.79210526315789498"/>
        </c:manualLayout>
      </c:layout>
      <c:barChart>
        <c:barDir val="bar"/>
        <c:grouping val="clustered"/>
        <c:ser>
          <c:idx val="0"/>
          <c:order val="0"/>
          <c:tx>
            <c:strRef>
              <c:f>List1!$B$32</c:f>
              <c:strCache>
                <c:ptCount val="1"/>
                <c:pt idx="0">
                  <c:v>Vysoký příjem      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List1!$A$33:$A$37</c:f>
              <c:strCache>
                <c:ptCount val="5"/>
                <c:pt idx="0">
                  <c:v>Ne+Polokval.dělníci</c:v>
                </c:pt>
                <c:pt idx="1">
                  <c:v>Kvalif.dělníci</c:v>
                </c:pt>
                <c:pt idx="2">
                  <c:v>Rutinní nemanuální</c:v>
                </c:pt>
                <c:pt idx="3">
                  <c:v>Vysocí+stř.odborníci</c:v>
                </c:pt>
                <c:pt idx="4">
                  <c:v>Podnikatelé</c:v>
                </c:pt>
              </c:strCache>
            </c:strRef>
          </c:cat>
          <c:val>
            <c:numRef>
              <c:f>List1!$B$33:$B$37</c:f>
              <c:numCache>
                <c:formatCode>General</c:formatCode>
                <c:ptCount val="5"/>
                <c:pt idx="0">
                  <c:v>2.6585365853658542</c:v>
                </c:pt>
                <c:pt idx="1">
                  <c:v>2.5460122699386489</c:v>
                </c:pt>
                <c:pt idx="2">
                  <c:v>2.8045602605863196</c:v>
                </c:pt>
                <c:pt idx="3">
                  <c:v>2.7926267281106001</c:v>
                </c:pt>
                <c:pt idx="4">
                  <c:v>2.2335329341317345</c:v>
                </c:pt>
              </c:numCache>
            </c:numRef>
          </c:val>
        </c:ser>
        <c:ser>
          <c:idx val="1"/>
          <c:order val="1"/>
          <c:tx>
            <c:strRef>
              <c:f>List1!$C$32</c:f>
              <c:strCache>
                <c:ptCount val="1"/>
                <c:pt idx="0">
                  <c:v>Obsah práce         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List1!$A$33:$A$37</c:f>
              <c:strCache>
                <c:ptCount val="5"/>
                <c:pt idx="0">
                  <c:v>Ne+Polokval.dělníci</c:v>
                </c:pt>
                <c:pt idx="1">
                  <c:v>Kvalif.dělníci</c:v>
                </c:pt>
                <c:pt idx="2">
                  <c:v>Rutinní nemanuální</c:v>
                </c:pt>
                <c:pt idx="3">
                  <c:v>Vysocí+stř.odborníci</c:v>
                </c:pt>
                <c:pt idx="4">
                  <c:v>Podnikatelé</c:v>
                </c:pt>
              </c:strCache>
            </c:strRef>
          </c:cat>
          <c:val>
            <c:numRef>
              <c:f>List1!$C$33:$C$37</c:f>
              <c:numCache>
                <c:formatCode>General</c:formatCode>
                <c:ptCount val="5"/>
                <c:pt idx="0">
                  <c:v>2.6666666666666665</c:v>
                </c:pt>
                <c:pt idx="1">
                  <c:v>2.4539877300613511</c:v>
                </c:pt>
                <c:pt idx="2">
                  <c:v>2.3159609120521183</c:v>
                </c:pt>
                <c:pt idx="3">
                  <c:v>2.0760368663594471</c:v>
                </c:pt>
                <c:pt idx="4">
                  <c:v>2.1616766467065873</c:v>
                </c:pt>
              </c:numCache>
            </c:numRef>
          </c:val>
        </c:ser>
        <c:ser>
          <c:idx val="2"/>
          <c:order val="2"/>
          <c:tx>
            <c:strRef>
              <c:f>List1!$D$32</c:f>
              <c:strCache>
                <c:ptCount val="1"/>
                <c:pt idx="0">
                  <c:v>Jistota zaměstnání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List1!$A$33:$A$37</c:f>
              <c:strCache>
                <c:ptCount val="5"/>
                <c:pt idx="0">
                  <c:v>Ne+Polokval.dělníci</c:v>
                </c:pt>
                <c:pt idx="1">
                  <c:v>Kvalif.dělníci</c:v>
                </c:pt>
                <c:pt idx="2">
                  <c:v>Rutinní nemanuální</c:v>
                </c:pt>
                <c:pt idx="3">
                  <c:v>Vysocí+stř.odborníci</c:v>
                </c:pt>
                <c:pt idx="4">
                  <c:v>Podnikatelé</c:v>
                </c:pt>
              </c:strCache>
            </c:strRef>
          </c:cat>
          <c:val>
            <c:numRef>
              <c:f>List1!$D$33:$D$37</c:f>
              <c:numCache>
                <c:formatCode>General</c:formatCode>
                <c:ptCount val="5"/>
                <c:pt idx="0">
                  <c:v>2.0569105691056917</c:v>
                </c:pt>
                <c:pt idx="1">
                  <c:v>2.2147239263803682</c:v>
                </c:pt>
                <c:pt idx="2">
                  <c:v>2.1693811074918563</c:v>
                </c:pt>
                <c:pt idx="3">
                  <c:v>2.4539170506912451</c:v>
                </c:pt>
                <c:pt idx="4">
                  <c:v>2.9820359281437137</c:v>
                </c:pt>
              </c:numCache>
            </c:numRef>
          </c:val>
        </c:ser>
        <c:axId val="187140352"/>
        <c:axId val="187586816"/>
      </c:barChart>
      <c:catAx>
        <c:axId val="187140352"/>
        <c:scaling>
          <c:orientation val="minMax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87586816"/>
        <c:crosses val="autoZero"/>
        <c:auto val="1"/>
        <c:lblAlgn val="ctr"/>
        <c:lblOffset val="100"/>
        <c:tickLblSkip val="1"/>
        <c:tickMarkSkip val="1"/>
      </c:catAx>
      <c:valAx>
        <c:axId val="187586816"/>
        <c:scaling>
          <c:orientation val="minMax"/>
          <c:max val="3"/>
          <c:min val="1"/>
        </c:scaling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87140352"/>
        <c:crosses val="autoZero"/>
        <c:crossBetween val="between"/>
      </c:valAx>
      <c:spPr>
        <a:solidFill>
          <a:srgbClr val="FFFFFF"/>
        </a:solidFill>
        <a:ln w="12697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4899464858716436"/>
          <c:y val="0.92894736842105252"/>
          <c:w val="0.62456865950034812"/>
          <c:h val="6.3157894736842121E-2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</dc:creator>
  <cp:lastModifiedBy>Kuchar</cp:lastModifiedBy>
  <cp:revision>2</cp:revision>
  <dcterms:created xsi:type="dcterms:W3CDTF">2020-09-27T15:57:00Z</dcterms:created>
  <dcterms:modified xsi:type="dcterms:W3CDTF">2020-09-27T16:10:00Z</dcterms:modified>
</cp:coreProperties>
</file>