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85" w:rsidRDefault="00A26A85" w:rsidP="00A26A85">
      <w:pPr>
        <w:pStyle w:val="Nadpis1"/>
        <w:rPr>
          <w:b/>
          <w:bCs/>
          <w:sz w:val="40"/>
          <w:szCs w:val="40"/>
        </w:rPr>
      </w:pPr>
      <w:r w:rsidRPr="00A26A85">
        <w:rPr>
          <w:b/>
          <w:bCs/>
          <w:sz w:val="40"/>
          <w:szCs w:val="40"/>
        </w:rPr>
        <w:t>8. Horizontální vztahy</w:t>
      </w:r>
    </w:p>
    <w:p w:rsidR="00A26A85" w:rsidRPr="00A26A85" w:rsidRDefault="00A26A85" w:rsidP="00A26A85"/>
    <w:p w:rsidR="00A26A85" w:rsidRPr="00A26A85" w:rsidRDefault="00A26A85" w:rsidP="00A26A85">
      <w:pPr>
        <w:pStyle w:val="Nadpis2"/>
        <w:rPr>
          <w:sz w:val="24"/>
          <w:szCs w:val="24"/>
        </w:rPr>
      </w:pPr>
      <w:r w:rsidRPr="00A26A85">
        <w:rPr>
          <w:sz w:val="24"/>
          <w:szCs w:val="24"/>
        </w:rPr>
        <w:t>Vztahy mezi spolupracovníky jsou obvykle lépe hodnoceny, než vztahy vertikální</w:t>
      </w:r>
    </w:p>
    <w:p w:rsidR="00A26A85" w:rsidRPr="00A26A85" w:rsidRDefault="00A26A85" w:rsidP="00A26A85">
      <w:pPr>
        <w:pStyle w:val="Nadpis2"/>
        <w:rPr>
          <w:sz w:val="24"/>
          <w:szCs w:val="24"/>
        </w:rPr>
      </w:pPr>
      <w:r w:rsidRPr="00A26A85">
        <w:rPr>
          <w:sz w:val="24"/>
          <w:szCs w:val="24"/>
        </w:rPr>
        <w:t xml:space="preserve">Pracovní skupina je charakterizována: 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Společným cílem (produkce hodnot)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Pozicí v organizaci (dělba práce, hierarchie)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Charakterem práce a pracovním místem (specifika odloučených pracovišť)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Společným vedením (jeden vedoucí)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Omezeným počtem členů s jasně definovanými pozicemi</w:t>
      </w:r>
    </w:p>
    <w:p w:rsidR="00A26A85" w:rsidRPr="00A26A85" w:rsidRDefault="00A26A85" w:rsidP="00A26A85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A26A85">
        <w:rPr>
          <w:sz w:val="24"/>
          <w:szCs w:val="24"/>
        </w:rPr>
        <w:t>Neformálními interpersonálními vztahy (funkce času)</w:t>
      </w:r>
    </w:p>
    <w:p w:rsidR="00A26A85" w:rsidRPr="00A26A85" w:rsidRDefault="00A26A85" w:rsidP="00A26A85">
      <w:pPr>
        <w:pStyle w:val="Nadpis2"/>
        <w:rPr>
          <w:sz w:val="24"/>
          <w:szCs w:val="24"/>
        </w:rPr>
      </w:pPr>
      <w:r w:rsidRPr="00A26A85">
        <w:rPr>
          <w:sz w:val="24"/>
          <w:szCs w:val="24"/>
        </w:rPr>
        <w:tab/>
      </w:r>
    </w:p>
    <w:p w:rsidR="00A26A85" w:rsidRPr="00A26A85" w:rsidRDefault="00A26A85" w:rsidP="00A26A85">
      <w:pPr>
        <w:rPr>
          <w:rFonts w:eastAsia="Arial Unicode MS"/>
          <w:color w:val="FF9900"/>
        </w:rPr>
      </w:pPr>
      <w:r w:rsidRPr="00A26A85">
        <w:rPr>
          <w:color w:val="FF9900"/>
        </w:rPr>
        <w:t>Význam pracovní skupiny pro jednotlivce:</w:t>
      </w:r>
    </w:p>
    <w:p w:rsidR="00A26A85" w:rsidRDefault="00A26A85" w:rsidP="00A26A85">
      <w:pPr>
        <w:pStyle w:val="Odstavecseseznamem"/>
        <w:numPr>
          <w:ilvl w:val="0"/>
          <w:numId w:val="3"/>
        </w:numPr>
        <w:rPr>
          <w:color w:val="000000"/>
        </w:rPr>
      </w:pPr>
      <w:r w:rsidRPr="00A26A85">
        <w:rPr>
          <w:color w:val="000000"/>
        </w:rPr>
        <w:t>Ekonomický – stimulace výkonu, saturace potřeb, výdělek, organizační chování, vedení a řízení</w:t>
      </w:r>
    </w:p>
    <w:p w:rsidR="00A26A85" w:rsidRDefault="00A26A85" w:rsidP="00A26A85">
      <w:pPr>
        <w:pStyle w:val="Odstavecseseznamem"/>
        <w:numPr>
          <w:ilvl w:val="0"/>
          <w:numId w:val="3"/>
        </w:numPr>
        <w:rPr>
          <w:color w:val="000000"/>
        </w:rPr>
      </w:pPr>
      <w:r w:rsidRPr="00A26A85">
        <w:rPr>
          <w:color w:val="000000"/>
        </w:rPr>
        <w:t>Sociální – členství v kolektivu, pozice, status, autorita, sociální kontrola</w:t>
      </w:r>
    </w:p>
    <w:p w:rsidR="00A26A85" w:rsidRDefault="00A26A85" w:rsidP="00A26A85">
      <w:pPr>
        <w:pStyle w:val="Odstavecseseznamem"/>
        <w:numPr>
          <w:ilvl w:val="0"/>
          <w:numId w:val="3"/>
        </w:numPr>
        <w:rPr>
          <w:color w:val="000000"/>
        </w:rPr>
      </w:pPr>
      <w:r w:rsidRPr="00A26A85">
        <w:rPr>
          <w:color w:val="000000"/>
        </w:rPr>
        <w:t>Ideologický – utváří se zde systém hodnot, získávají informace, transfer hodnot</w:t>
      </w:r>
    </w:p>
    <w:p w:rsidR="00A26A85" w:rsidRPr="00A26A85" w:rsidRDefault="00A26A85" w:rsidP="00A26A85">
      <w:pPr>
        <w:pStyle w:val="Odstavecseseznamem"/>
        <w:numPr>
          <w:ilvl w:val="0"/>
          <w:numId w:val="3"/>
        </w:numPr>
        <w:rPr>
          <w:color w:val="000000"/>
        </w:rPr>
      </w:pPr>
      <w:r w:rsidRPr="00A26A85">
        <w:rPr>
          <w:color w:val="000000"/>
        </w:rPr>
        <w:t>Psychologický – seberealizace osobnosti, srovnávání, výchovná funkce</w:t>
      </w:r>
    </w:p>
    <w:p w:rsidR="00A26A85" w:rsidRPr="00A26A85" w:rsidRDefault="00A26A85" w:rsidP="00A26A85">
      <w:pPr>
        <w:rPr>
          <w:color w:val="000000"/>
        </w:rPr>
      </w:pPr>
    </w:p>
    <w:p w:rsidR="00A26A85" w:rsidRPr="00A26A85" w:rsidRDefault="00A26A85" w:rsidP="00A26A85">
      <w:pPr>
        <w:rPr>
          <w:rFonts w:eastAsia="Arial Unicode MS"/>
          <w:color w:val="FF9900"/>
        </w:rPr>
      </w:pPr>
      <w:r w:rsidRPr="00A26A85">
        <w:rPr>
          <w:color w:val="FF9900"/>
        </w:rPr>
        <w:t>Diferenciace skupin podle:</w:t>
      </w:r>
    </w:p>
    <w:p w:rsidR="00A26A85" w:rsidRPr="00A26A85" w:rsidRDefault="00A26A85" w:rsidP="00A26A85">
      <w:pPr>
        <w:pStyle w:val="Odstavecseseznamem"/>
        <w:numPr>
          <w:ilvl w:val="0"/>
          <w:numId w:val="4"/>
        </w:numPr>
        <w:rPr>
          <w:color w:val="000000"/>
        </w:rPr>
      </w:pPr>
      <w:r w:rsidRPr="00A26A85">
        <w:rPr>
          <w:color w:val="000000"/>
        </w:rPr>
        <w:t>Objektivních znaků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ab/>
      </w:r>
      <w:r>
        <w:rPr>
          <w:color w:val="000000"/>
        </w:rPr>
        <w:t xml:space="preserve">     </w:t>
      </w:r>
      <w:r w:rsidRPr="00A26A85">
        <w:rPr>
          <w:color w:val="000000"/>
        </w:rPr>
        <w:t>demografické - věk, pohlaví, národnost</w:t>
      </w:r>
    </w:p>
    <w:p w:rsidR="00A26A85" w:rsidRDefault="00A26A85" w:rsidP="00A26A85">
      <w:pPr>
        <w:rPr>
          <w:color w:val="000000"/>
        </w:rPr>
      </w:pPr>
      <w:r w:rsidRPr="00A26A85">
        <w:rPr>
          <w:color w:val="000000"/>
        </w:rPr>
        <w:tab/>
      </w:r>
      <w:r>
        <w:rPr>
          <w:color w:val="000000"/>
        </w:rPr>
        <w:t xml:space="preserve">     </w:t>
      </w:r>
      <w:r w:rsidRPr="00A26A85">
        <w:rPr>
          <w:color w:val="000000"/>
        </w:rPr>
        <w:t xml:space="preserve">charakteristiky pracovníků - vzdělání, kvalifikace, délka stáže, průměrná mzda, pracovní </w:t>
      </w:r>
    </w:p>
    <w:p w:rsidR="00A26A85" w:rsidRPr="00A26A85" w:rsidRDefault="00A26A85" w:rsidP="00A26A85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A26A85">
        <w:rPr>
          <w:color w:val="000000"/>
        </w:rPr>
        <w:t>podmínky ad.</w:t>
      </w:r>
    </w:p>
    <w:p w:rsidR="00A26A85" w:rsidRPr="00A26A85" w:rsidRDefault="00A26A85" w:rsidP="00A26A85">
      <w:pPr>
        <w:pStyle w:val="Odstavecseseznamem"/>
        <w:numPr>
          <w:ilvl w:val="0"/>
          <w:numId w:val="4"/>
        </w:numPr>
        <w:rPr>
          <w:color w:val="000000"/>
        </w:rPr>
      </w:pPr>
      <w:r w:rsidRPr="00A26A85">
        <w:rPr>
          <w:color w:val="000000"/>
        </w:rPr>
        <w:t xml:space="preserve">Typů vztahů 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ab/>
      </w:r>
      <w:r>
        <w:rPr>
          <w:color w:val="000000"/>
        </w:rPr>
        <w:t xml:space="preserve">     </w:t>
      </w:r>
      <w:r w:rsidRPr="00A26A85">
        <w:rPr>
          <w:color w:val="000000"/>
        </w:rPr>
        <w:t>kooperace, organizační členění</w:t>
      </w:r>
    </w:p>
    <w:p w:rsidR="00A26A85" w:rsidRPr="00A26A85" w:rsidRDefault="00A26A85" w:rsidP="00A26A85">
      <w:pPr>
        <w:pStyle w:val="Odstavecseseznamem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F</w:t>
      </w:r>
      <w:r w:rsidRPr="00A26A85">
        <w:rPr>
          <w:color w:val="000000"/>
        </w:rPr>
        <w:t>orem činností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ab/>
      </w:r>
      <w:r>
        <w:rPr>
          <w:color w:val="000000"/>
        </w:rPr>
        <w:t xml:space="preserve">     </w:t>
      </w:r>
      <w:r w:rsidRPr="00A26A85">
        <w:rPr>
          <w:color w:val="000000"/>
        </w:rPr>
        <w:t>výrobní – obsah práce, kvalifikace, mezilidské vztahy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ab/>
      </w:r>
      <w:r>
        <w:rPr>
          <w:color w:val="000000"/>
        </w:rPr>
        <w:t xml:space="preserve">     </w:t>
      </w:r>
      <w:r w:rsidRPr="00A26A85">
        <w:rPr>
          <w:color w:val="000000"/>
        </w:rPr>
        <w:t>nevýrobní – mimopracovní zájmy, volný čas</w:t>
      </w:r>
    </w:p>
    <w:p w:rsidR="00A26A85" w:rsidRPr="00A26A85" w:rsidRDefault="00A26A85" w:rsidP="00A26A85">
      <w:pPr>
        <w:rPr>
          <w:color w:val="000000"/>
        </w:rPr>
      </w:pPr>
    </w:p>
    <w:p w:rsidR="00A26A85" w:rsidRPr="00A26A85" w:rsidRDefault="00A26A85" w:rsidP="00A26A85">
      <w:pPr>
        <w:rPr>
          <w:rFonts w:eastAsia="Arial Unicode MS"/>
          <w:color w:val="FF9900"/>
        </w:rPr>
      </w:pPr>
      <w:r w:rsidRPr="00A26A85">
        <w:rPr>
          <w:color w:val="FF9900"/>
        </w:rPr>
        <w:t xml:space="preserve">Struktura skupiny: </w:t>
      </w:r>
    </w:p>
    <w:p w:rsidR="00A26A85" w:rsidRPr="00A26A85" w:rsidRDefault="00A26A85" w:rsidP="00A26A85">
      <w:pPr>
        <w:ind w:left="284" w:hanging="284"/>
        <w:rPr>
          <w:color w:val="000000"/>
        </w:rPr>
      </w:pPr>
      <w:r w:rsidRPr="00A26A85">
        <w:rPr>
          <w:color w:val="000000"/>
        </w:rPr>
        <w:t>Formální – je založena na funkčních požadavcích výroby, tj. na dělbě práce a specifikaci prací, jejich hierarchizaci, toku informací a informačních kanálech, koordinaci výroby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Neformální – je založena na osobních kontaktech, sympatii a antipatii</w:t>
      </w:r>
    </w:p>
    <w:p w:rsidR="00A26A85" w:rsidRDefault="00A26A85" w:rsidP="00A26A85">
      <w:pPr>
        <w:rPr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 xml:space="preserve">Skupina funguje tím lépe, čím méně se prolínají neformální a formální vztahy (nejen kladné, ale i záporné) </w:t>
      </w:r>
      <w:r w:rsidRPr="00A26A85">
        <w:rPr>
          <w:color w:val="FF0000"/>
        </w:rPr>
        <w:t>ALE</w:t>
      </w:r>
      <w:r w:rsidRPr="00A26A85">
        <w:rPr>
          <w:color w:val="000000"/>
        </w:rPr>
        <w:t xml:space="preserve"> z hlediska vedení je prolínání kladných vztahů většinou (ne vždy!) žádoucí 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 xml:space="preserve">Zdůrazňování potřeby osobní iniciativy vypovídá o chybách v řízení - efektivní plnění funkcí tvoří efektivní organizaci. </w:t>
      </w: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color w:val="000000"/>
        </w:rPr>
      </w:pPr>
    </w:p>
    <w:p w:rsidR="00A26A85" w:rsidRPr="00A26A85" w:rsidRDefault="00A26A85" w:rsidP="00A26A85">
      <w:pPr>
        <w:rPr>
          <w:rFonts w:eastAsia="Arial Unicode MS"/>
          <w:color w:val="000000"/>
        </w:rPr>
      </w:pPr>
      <w:r w:rsidRPr="00A26A85">
        <w:rPr>
          <w:color w:val="FF9900"/>
        </w:rPr>
        <w:t>Vedení pracovních skupin</w:t>
      </w:r>
      <w:r w:rsidRPr="00A26A85">
        <w:rPr>
          <w:color w:val="000000"/>
        </w:rPr>
        <w:t xml:space="preserve"> (vedoucí, mistr)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Role nejen odborných znalostí, ale i sociální kompetence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Funkce vedoucího: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Vykonavatel – koordinuje činnost skupiny, stanovuje úkoly, kontroluje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Plánovač – rozhoduje o způsobech a prostředcích dosahování cílů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Určovatel cílů – formuluje cíle, respekt k potřebám shora i zdola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Představitel firemní kultury – převádí zájmy firmy do skupiny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Reprezentant skupiny – zastupuje ji navenek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Ochránce skupiny – reguluje vztahy ve skupině</w:t>
      </w:r>
    </w:p>
    <w:p w:rsidR="00A26A85" w:rsidRPr="00A26A85" w:rsidRDefault="00A26A85" w:rsidP="00A26A85">
      <w:pPr>
        <w:rPr>
          <w:rFonts w:eastAsia="Arial Unicode MS"/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 xml:space="preserve">Vzor – je příkladem pro členy skupiny 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Symbol skupiny – je výrazem existence skupiny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lastRenderedPageBreak/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Ideolog skupiny – nositel názorů, hodnot, norem a tradice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Otec – je centrem citových vztahů pro členy skupiny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•</w:t>
      </w:r>
      <w:r w:rsidR="001D4623">
        <w:rPr>
          <w:color w:val="000000"/>
        </w:rPr>
        <w:t xml:space="preserve"> </w:t>
      </w:r>
      <w:r w:rsidRPr="00A26A85">
        <w:rPr>
          <w:color w:val="000000"/>
        </w:rPr>
        <w:t>Obětní beránek – slouží jako terč v případě konfliktů</w:t>
      </w:r>
    </w:p>
    <w:p w:rsidR="00A26A85" w:rsidRDefault="00A26A85" w:rsidP="00A26A85">
      <w:pPr>
        <w:rPr>
          <w:b/>
          <w:color w:val="000000"/>
        </w:rPr>
      </w:pPr>
    </w:p>
    <w:p w:rsidR="001D4623" w:rsidRPr="00A26A85" w:rsidRDefault="001D4623" w:rsidP="00A26A85">
      <w:pPr>
        <w:rPr>
          <w:b/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  <w:r w:rsidRPr="00A26A85">
        <w:rPr>
          <w:b/>
          <w:color w:val="000000"/>
        </w:rPr>
        <w:t>Efekt hierarchie</w:t>
      </w:r>
      <w:r w:rsidRPr="00A26A85">
        <w:rPr>
          <w:color w:val="000000"/>
        </w:rPr>
        <w:t xml:space="preserve"> – čím vzdálenější je nadřízený, tím hůře je zaměstnanci hodnocen</w:t>
      </w: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rPr>
          <w:vanish/>
          <w:color w:val="000000"/>
        </w:rPr>
      </w:pPr>
    </w:p>
    <w:p w:rsidR="00A26A85" w:rsidRPr="00A26A85" w:rsidRDefault="00A26A85" w:rsidP="00A26A85">
      <w:pPr>
        <w:pStyle w:val="Nadpis2"/>
        <w:rPr>
          <w:sz w:val="24"/>
          <w:szCs w:val="24"/>
        </w:rPr>
      </w:pPr>
    </w:p>
    <w:p w:rsidR="00A26A85" w:rsidRPr="00A26A85" w:rsidRDefault="00A26A85" w:rsidP="00A26A85">
      <w:pPr>
        <w:rPr>
          <w:color w:val="FF9900"/>
        </w:rPr>
      </w:pPr>
    </w:p>
    <w:p w:rsidR="00A26A85" w:rsidRPr="00A26A85" w:rsidRDefault="00A26A85" w:rsidP="00A26A85">
      <w:pPr>
        <w:rPr>
          <w:rFonts w:eastAsia="Arial Unicode MS"/>
          <w:color w:val="FF9900"/>
        </w:rPr>
      </w:pPr>
      <w:r w:rsidRPr="00A26A85">
        <w:rPr>
          <w:color w:val="FF9900"/>
        </w:rPr>
        <w:t>Zásady fungování pracovních skupin:</w:t>
      </w:r>
    </w:p>
    <w:p w:rsidR="00A26A85" w:rsidRPr="00A26A85" w:rsidRDefault="00A26A85" w:rsidP="00A26A85">
      <w:pPr>
        <w:rPr>
          <w:color w:val="000000"/>
        </w:rPr>
      </w:pPr>
      <w:r w:rsidRPr="00A26A85">
        <w:rPr>
          <w:color w:val="000000"/>
        </w:rPr>
        <w:t>Zákon nutné kooperace – výkon skupiny nesmí být ovlivněn sympatiemi či antipatiemi členů</w:t>
      </w:r>
    </w:p>
    <w:p w:rsidR="001D4623" w:rsidRDefault="00A26A85" w:rsidP="00A26A85">
      <w:pPr>
        <w:rPr>
          <w:color w:val="000000"/>
        </w:rPr>
      </w:pPr>
      <w:r w:rsidRPr="00A26A85">
        <w:rPr>
          <w:color w:val="000000"/>
        </w:rPr>
        <w:t xml:space="preserve">Zákon nutné flexibility – skupina musí zvládnout situaci za všech okolností, vč. příp. porušení </w:t>
      </w:r>
      <w:r w:rsidR="001D4623">
        <w:rPr>
          <w:color w:val="000000"/>
        </w:rPr>
        <w:t xml:space="preserve"> </w:t>
      </w:r>
    </w:p>
    <w:p w:rsidR="00A26A85" w:rsidRPr="00A26A85" w:rsidRDefault="001D4623" w:rsidP="00A26A85">
      <w:pPr>
        <w:rPr>
          <w:color w:val="000000"/>
        </w:rPr>
      </w:pPr>
      <w:r>
        <w:rPr>
          <w:color w:val="000000"/>
        </w:rPr>
        <w:t xml:space="preserve">          </w:t>
      </w:r>
      <w:r w:rsidR="00A26A85" w:rsidRPr="00A26A85">
        <w:rPr>
          <w:color w:val="000000"/>
        </w:rPr>
        <w:t>předpisů</w:t>
      </w:r>
    </w:p>
    <w:p w:rsidR="001D4623" w:rsidRDefault="00A26A85" w:rsidP="00A26A85">
      <w:pPr>
        <w:rPr>
          <w:color w:val="000000"/>
        </w:rPr>
      </w:pPr>
      <w:r w:rsidRPr="00A26A85">
        <w:rPr>
          <w:color w:val="000000"/>
        </w:rPr>
        <w:t xml:space="preserve">Zákon funkční hierarchie – perspektivní jsou spíše heterogenní skupiny (věk, kvalifikace), členové </w:t>
      </w:r>
    </w:p>
    <w:p w:rsidR="00A26A85" w:rsidRPr="00A26A85" w:rsidRDefault="001D4623" w:rsidP="00A26A85">
      <w:pPr>
        <w:rPr>
          <w:color w:val="000000"/>
        </w:rPr>
      </w:pPr>
      <w:r>
        <w:rPr>
          <w:color w:val="000000"/>
        </w:rPr>
        <w:t xml:space="preserve">          </w:t>
      </w:r>
      <w:r w:rsidR="00A26A85" w:rsidRPr="00A26A85">
        <w:rPr>
          <w:color w:val="000000"/>
        </w:rPr>
        <w:t>vzájemně kooperují, mají společné zájmy</w:t>
      </w:r>
    </w:p>
    <w:p w:rsidR="001D4623" w:rsidRDefault="00A26A85" w:rsidP="00A26A85">
      <w:pPr>
        <w:rPr>
          <w:color w:val="000000"/>
        </w:rPr>
      </w:pPr>
      <w:r w:rsidRPr="00A26A85">
        <w:rPr>
          <w:color w:val="000000"/>
        </w:rPr>
        <w:t xml:space="preserve">Zákon průměrné spolehlivosti – nejvíce efektivní jsou skupiny průměrné (nadprůměrné riskují </w:t>
      </w:r>
    </w:p>
    <w:p w:rsidR="00A26A85" w:rsidRPr="00A26A85" w:rsidRDefault="001D4623" w:rsidP="00A26A85">
      <w:pPr>
        <w:rPr>
          <w:color w:val="000000"/>
        </w:rPr>
      </w:pPr>
      <w:r>
        <w:rPr>
          <w:color w:val="000000"/>
        </w:rPr>
        <w:t xml:space="preserve">          </w:t>
      </w:r>
      <w:r w:rsidR="00A26A85" w:rsidRPr="00A26A85">
        <w:rPr>
          <w:color w:val="000000"/>
        </w:rPr>
        <w:t>spolupráci s ostatními, podprůměrné jsou provozně rizikové)</w:t>
      </w:r>
    </w:p>
    <w:p w:rsidR="00A26A85" w:rsidRDefault="00A26A85" w:rsidP="00A26A85">
      <w:pPr>
        <w:pStyle w:val="Nadpis1"/>
        <w:rPr>
          <w:b/>
          <w:bCs/>
          <w:sz w:val="24"/>
          <w:szCs w:val="24"/>
        </w:rPr>
      </w:pPr>
    </w:p>
    <w:p w:rsidR="0093250B" w:rsidRPr="0093250B" w:rsidRDefault="0093250B" w:rsidP="0093250B"/>
    <w:p w:rsidR="00A26A85" w:rsidRDefault="00A26A85" w:rsidP="00A26A85">
      <w:pPr>
        <w:pStyle w:val="Nadpis1"/>
        <w:rPr>
          <w:b/>
          <w:bCs/>
          <w:sz w:val="24"/>
          <w:szCs w:val="24"/>
        </w:rPr>
      </w:pPr>
      <w:r w:rsidRPr="00A26A85">
        <w:rPr>
          <w:b/>
          <w:bCs/>
          <w:sz w:val="24"/>
          <w:szCs w:val="24"/>
        </w:rPr>
        <w:t>SOCIOMETRIE</w:t>
      </w:r>
    </w:p>
    <w:p w:rsidR="0093250B" w:rsidRPr="0093250B" w:rsidRDefault="0093250B" w:rsidP="0093250B"/>
    <w:p w:rsidR="00A26A85" w:rsidRPr="00A26A85" w:rsidRDefault="00A26A85" w:rsidP="00A26A85">
      <w:r w:rsidRPr="00A26A85">
        <w:t>Metoda studia malé sociální skupiny (</w:t>
      </w:r>
      <w:proofErr w:type="spellStart"/>
      <w:r w:rsidRPr="00A26A85">
        <w:t>opt</w:t>
      </w:r>
      <w:proofErr w:type="spellEnd"/>
      <w:r w:rsidRPr="00A26A85">
        <w:t xml:space="preserve">. 6-8 lidí) </w:t>
      </w:r>
      <w:r w:rsidR="0093250B">
        <w:t>(</w:t>
      </w:r>
      <w:proofErr w:type="spellStart"/>
      <w:proofErr w:type="gramStart"/>
      <w:r w:rsidRPr="00A26A85">
        <w:rPr>
          <w:i/>
          <w:iCs/>
        </w:rPr>
        <w:t>J.L.</w:t>
      </w:r>
      <w:proofErr w:type="gramEnd"/>
      <w:r w:rsidRPr="00A26A85">
        <w:rPr>
          <w:i/>
          <w:iCs/>
        </w:rPr>
        <w:t>Moreno</w:t>
      </w:r>
      <w:proofErr w:type="spellEnd"/>
      <w:r w:rsidRPr="00A26A85">
        <w:rPr>
          <w:i/>
          <w:iCs/>
        </w:rPr>
        <w:t xml:space="preserve"> 1934</w:t>
      </w:r>
      <w:r w:rsidR="0093250B">
        <w:rPr>
          <w:i/>
          <w:iCs/>
        </w:rPr>
        <w:t>)</w:t>
      </w:r>
    </w:p>
    <w:p w:rsidR="00A26A85" w:rsidRPr="00A26A85" w:rsidRDefault="00A26A85" w:rsidP="00A26A85">
      <w:r w:rsidRPr="00A26A85">
        <w:t>Měření neformálních (</w:t>
      </w:r>
      <w:proofErr w:type="spellStart"/>
      <w:r w:rsidRPr="00A26A85">
        <w:t>sociopreferenčních</w:t>
      </w:r>
      <w:proofErr w:type="spellEnd"/>
      <w:r w:rsidRPr="00A26A85">
        <w:t xml:space="preserve">) vztahů (preference, odmítání, </w:t>
      </w:r>
      <w:proofErr w:type="gramStart"/>
      <w:r w:rsidRPr="00A26A85">
        <w:t xml:space="preserve">indiference) </w:t>
      </w:r>
      <w:r w:rsidR="0093250B">
        <w:t>(</w:t>
      </w:r>
      <w:proofErr w:type="spellStart"/>
      <w:r w:rsidRPr="00A26A85">
        <w:rPr>
          <w:i/>
          <w:iCs/>
        </w:rPr>
        <w:t>Petrusek</w:t>
      </w:r>
      <w:proofErr w:type="spellEnd"/>
      <w:proofErr w:type="gramEnd"/>
      <w:r w:rsidRPr="00A26A85">
        <w:rPr>
          <w:i/>
          <w:iCs/>
        </w:rPr>
        <w:t xml:space="preserve"> 1969</w:t>
      </w:r>
      <w:r w:rsidR="0093250B">
        <w:rPr>
          <w:i/>
          <w:iCs/>
        </w:rPr>
        <w:t>)</w:t>
      </w:r>
    </w:p>
    <w:p w:rsidR="00A26A85" w:rsidRPr="00A26A85" w:rsidRDefault="00A26A85" w:rsidP="00A26A85">
      <w:r w:rsidRPr="00A26A85">
        <w:t>Koheze skupiny, členění na podskupiny, pozice jedinců</w:t>
      </w:r>
    </w:p>
    <w:p w:rsidR="00A26A85" w:rsidRPr="00A26A85" w:rsidRDefault="00A26A85" w:rsidP="00A26A85">
      <w:r w:rsidRPr="00A26A85">
        <w:t>Výběrová kritéria (otázky): činnosti, postoje, hodnocení událostí</w:t>
      </w:r>
    </w:p>
    <w:p w:rsidR="00A26A85" w:rsidRPr="00A26A85" w:rsidRDefault="00A26A85" w:rsidP="00A26A85">
      <w:r w:rsidRPr="00A26A85">
        <w:t>Neanonymní technika!</w:t>
      </w:r>
    </w:p>
    <w:p w:rsidR="0093250B" w:rsidRDefault="0093250B"/>
    <w:p w:rsidR="0093250B" w:rsidRDefault="0093250B">
      <w:r w:rsidRPr="0093250B">
        <w:drawing>
          <wp:inline distT="0" distB="0" distL="0" distR="0">
            <wp:extent cx="4505325" cy="3581400"/>
            <wp:effectExtent l="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6553200"/>
                      <a:chOff x="539750" y="188913"/>
                      <a:chExt cx="8353425" cy="6553200"/>
                    </a:xfrm>
                  </a:grpSpPr>
                  <a:sp>
                    <a:nvSpPr>
                      <a:cNvPr id="91138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1042988" y="4005263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39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1692275" y="5373688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2843213" y="5876925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4067175" y="5876925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2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6804025" y="5807075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3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6515100" y="2133600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4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003800" y="2133600"/>
                        <a:ext cx="720725" cy="57467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5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836613"/>
                        <a:ext cx="647700" cy="504825"/>
                      </a:xfrm>
                      <a:prstGeom prst="ellipse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>
                            <a:lnSpc>
                              <a:spcPct val="100000"/>
                            </a:lnSpc>
                            <a:buFontTx/>
                            <a:buNone/>
                          </a:pPr>
                          <a:endParaRPr lang="cs-CZ" sz="2400"/>
                        </a:p>
                      </a:txBody>
                      <a:useSpRect/>
                    </a:txSp>
                  </a:sp>
                  <a:sp>
                    <a:nvSpPr>
                      <a:cNvPr id="91146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685800" y="188913"/>
                        <a:ext cx="7772400" cy="587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4000">
                              <a:solidFill>
                                <a:srgbClr val="FF0000"/>
                              </a:solidFill>
                            </a:rPr>
                            <a:t>Sociogram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147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539750" y="836613"/>
                        <a:ext cx="8353425" cy="590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				 A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 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/>
                            <a:t/>
                          </a:r>
                          <a:br>
                            <a:rPr lang="cs-CZ" sz="3200"/>
                          </a:br>
                          <a:r>
                            <a:rPr lang="cs-CZ" sz="3200" b="1"/>
                            <a:t>					C	      E</a:t>
                          </a:r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 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 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/>
                            <a:t/>
                          </a:r>
                          <a:br>
                            <a:rPr lang="cs-CZ" sz="3200"/>
                          </a:br>
                          <a:r>
                            <a:rPr lang="cs-CZ" sz="3200" b="1"/>
                            <a:t>   B			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 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/>
                            <a:t/>
                          </a:r>
                          <a:br>
                            <a:rPr lang="cs-CZ" sz="3200"/>
                          </a:br>
                          <a:r>
                            <a:rPr lang="cs-CZ" sz="3200" b="1"/>
                            <a:t>         D</a:t>
                          </a:r>
                          <a:endParaRPr lang="cs-CZ" sz="3200"/>
                        </a:p>
                        <a:p>
                          <a:pPr marL="342900" indent="-342900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cs-CZ" sz="3200" b="1"/>
                            <a:t>          	      F		G			H</a:t>
                          </a:r>
                          <a:r>
                            <a:rPr lang="cs-CZ" sz="3200"/>
                            <a:t>	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148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692275" y="1412875"/>
                        <a:ext cx="1600200" cy="2667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49" name="Line 1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00275" y="1484313"/>
                        <a:ext cx="1219200" cy="3733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0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182938" y="1557338"/>
                        <a:ext cx="381000" cy="4114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1" name="Line 1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817938" y="1628775"/>
                        <a:ext cx="609600" cy="3962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4165600" y="1371600"/>
                        <a:ext cx="838200" cy="762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3" name="Line 1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683125" y="2852738"/>
                        <a:ext cx="609600" cy="27432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4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5910263" y="2276475"/>
                        <a:ext cx="533400" cy="304800"/>
                      </a:xfrm>
                      <a:prstGeom prst="leftRightArrow">
                        <a:avLst>
                          <a:gd name="adj1" fmla="val 50000"/>
                          <a:gd name="adj2" fmla="val 35000"/>
                        </a:avLst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99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5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27588" y="2781300"/>
                        <a:ext cx="1905000" cy="2819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6" name="Line 2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6931025" y="2924175"/>
                        <a:ext cx="304800" cy="2667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7" name="Line 21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606550" y="4652963"/>
                        <a:ext cx="228600" cy="609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91158" name="Line 22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386013" y="5792788"/>
                        <a:ext cx="457200" cy="228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99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3250B" w:rsidRDefault="0093250B"/>
    <w:p w:rsidR="0093250B" w:rsidRDefault="0093250B"/>
    <w:p w:rsidR="0093250B" w:rsidRDefault="0093250B"/>
    <w:p w:rsidR="0093250B" w:rsidRDefault="0093250B"/>
    <w:p w:rsidR="0093250B" w:rsidRDefault="0093250B"/>
    <w:p w:rsidR="0093250B" w:rsidRDefault="0093250B"/>
    <w:p w:rsidR="0093250B" w:rsidRDefault="0093250B"/>
    <w:p w:rsidR="0093250B" w:rsidRPr="00A26A85" w:rsidRDefault="0093250B">
      <w:r w:rsidRPr="0093250B">
        <w:lastRenderedPageBreak/>
        <w:drawing>
          <wp:inline distT="0" distB="0" distL="0" distR="0">
            <wp:extent cx="5972810" cy="4114800"/>
            <wp:effectExtent l="0" t="0" r="889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90000" cy="6553200"/>
                      <a:chOff x="228600" y="304800"/>
                      <a:chExt cx="8890000" cy="6553200"/>
                    </a:xfrm>
                  </a:grpSpPr>
                  <a:sp>
                    <a:nvSpPr>
                      <a:cNvPr id="1027" name="Rectangle 5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85800" y="304800"/>
                        <a:ext cx="77724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cs-CZ" sz="4000" smtClean="0">
                              <a:solidFill>
                                <a:srgbClr val="FF0000"/>
                              </a:solidFill>
                              <a:latin typeface="Times New Roman CE" charset="-18"/>
                            </a:rPr>
                            <a:t>Analýza skupinových dimenzí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28" name="Rectangle 6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228600" y="1143000"/>
                        <a:ext cx="4267200" cy="541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Koheze</a:t>
                          </a:r>
                          <a:r>
                            <a:rPr lang="cs-CZ" sz="2400" smtClean="0"/>
                            <a:t> - míra semknutosti, pevnost vzájemných vztahů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Integrace </a:t>
                          </a:r>
                          <a:r>
                            <a:rPr lang="cs-CZ" sz="2400" smtClean="0"/>
                            <a:t>- schopnost vystupovat jednotně, jako celek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Stratifikace</a:t>
                          </a:r>
                          <a:r>
                            <a:rPr lang="cs-CZ" sz="2400" smtClean="0"/>
                            <a:t> -rozdělení pozic mezi členy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Kontrola</a:t>
                          </a:r>
                          <a:r>
                            <a:rPr lang="cs-CZ" sz="2400" smtClean="0"/>
                            <a:t> - míra kontroly chování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Flexibilita</a:t>
                          </a:r>
                          <a:r>
                            <a:rPr lang="cs-CZ" sz="2400" smtClean="0"/>
                            <a:t> - schopnost přizpůsobit se pružně nové situaci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Satisfakce</a:t>
                          </a:r>
                          <a:r>
                            <a:rPr lang="cs-CZ" sz="2400" smtClean="0"/>
                            <a:t> - míra uspokojení členů z účasti</a:t>
                          </a:r>
                        </a:p>
                        <a:p>
                          <a:pPr marL="198438" indent="-198438" eaLnBrk="1" hangingPunct="1">
                            <a:lnSpc>
                              <a:spcPct val="80000"/>
                            </a:lnSpc>
                          </a:pPr>
                          <a:r>
                            <a:rPr lang="cs-CZ" sz="2400" b="1" smtClean="0"/>
                            <a:t>Intimita</a:t>
                          </a:r>
                          <a:r>
                            <a:rPr lang="cs-CZ" sz="2400" smtClean="0"/>
                            <a:t> - míra těsnosti a důvěrnosti vzájemných vazeb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94188" y="914400"/>
                        <a:ext cx="4824412" cy="5943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 type="none" w="sm" len="sm"/>
                        <a:tailEnd type="none" w="sm" len="sm"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sectPr w:rsidR="0093250B" w:rsidRPr="00A26A85" w:rsidSect="00A26A8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074E0"/>
    <w:lvl w:ilvl="0">
      <w:numFmt w:val="decimal"/>
      <w:lvlText w:val="*"/>
      <w:lvlJc w:val="left"/>
    </w:lvl>
  </w:abstractNum>
  <w:abstractNum w:abstractNumId="1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2B8"/>
    <w:multiLevelType w:val="hybridMultilevel"/>
    <w:tmpl w:val="A6B04B8E"/>
    <w:lvl w:ilvl="0" w:tplc="4FB074E0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83CAE"/>
    <w:multiLevelType w:val="hybridMultilevel"/>
    <w:tmpl w:val="21400396"/>
    <w:lvl w:ilvl="0" w:tplc="4FB074E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6A85"/>
    <w:rsid w:val="001D4623"/>
    <w:rsid w:val="00340FE9"/>
    <w:rsid w:val="00355DD5"/>
    <w:rsid w:val="0093250B"/>
    <w:rsid w:val="00A26A85"/>
    <w:rsid w:val="00D8761E"/>
    <w:rsid w:val="00FC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A85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6A85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A26A85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6A85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A26A85"/>
    <w:rPr>
      <w:rFonts w:eastAsia="Times New Roman" w:cs="Times New Roman"/>
      <w:color w:val="00000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26A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5</cp:revision>
  <dcterms:created xsi:type="dcterms:W3CDTF">2020-09-27T12:22:00Z</dcterms:created>
  <dcterms:modified xsi:type="dcterms:W3CDTF">2020-09-27T12:30:00Z</dcterms:modified>
</cp:coreProperties>
</file>