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11" w:rsidRDefault="00367411" w:rsidP="00367411">
      <w:pPr>
        <w:pStyle w:val="Nadpis1"/>
        <w:rPr>
          <w:sz w:val="40"/>
          <w:szCs w:val="40"/>
        </w:rPr>
      </w:pPr>
      <w:r w:rsidRPr="00367411">
        <w:rPr>
          <w:sz w:val="40"/>
          <w:szCs w:val="40"/>
        </w:rPr>
        <w:t>5. Sociální klima</w:t>
      </w:r>
    </w:p>
    <w:p w:rsidR="00367411" w:rsidRDefault="00367411" w:rsidP="00367411"/>
    <w:p w:rsidR="00367411" w:rsidRPr="00367411" w:rsidRDefault="00367411" w:rsidP="00367411">
      <w:pPr>
        <w:pStyle w:val="Nadpis2"/>
        <w:rPr>
          <w:sz w:val="24"/>
          <w:szCs w:val="24"/>
        </w:rPr>
      </w:pPr>
      <w:r w:rsidRPr="00367411">
        <w:rPr>
          <w:sz w:val="24"/>
          <w:szCs w:val="24"/>
        </w:rPr>
        <w:t>Atmosféra, podniková (organizační) kultura, kultura a forma mezilidských vztahů</w:t>
      </w:r>
    </w:p>
    <w:p w:rsidR="00367411" w:rsidRPr="00367411" w:rsidRDefault="00367411" w:rsidP="00367411">
      <w:pPr>
        <w:pStyle w:val="Nadpis2"/>
        <w:rPr>
          <w:sz w:val="24"/>
          <w:szCs w:val="24"/>
        </w:rPr>
      </w:pPr>
      <w:proofErr w:type="spellStart"/>
      <w:r w:rsidRPr="00367411">
        <w:rPr>
          <w:sz w:val="24"/>
          <w:szCs w:val="24"/>
        </w:rPr>
        <w:t>Hawthornské</w:t>
      </w:r>
      <w:proofErr w:type="spellEnd"/>
      <w:r w:rsidRPr="00367411">
        <w:rPr>
          <w:sz w:val="24"/>
          <w:szCs w:val="24"/>
        </w:rPr>
        <w:t xml:space="preserve"> experimenty – E. </w:t>
      </w:r>
      <w:proofErr w:type="spellStart"/>
      <w:r w:rsidRPr="00367411">
        <w:rPr>
          <w:sz w:val="24"/>
          <w:szCs w:val="24"/>
        </w:rPr>
        <w:t>Mayo</w:t>
      </w:r>
      <w:proofErr w:type="spellEnd"/>
      <w:r w:rsidRPr="00367411">
        <w:rPr>
          <w:sz w:val="24"/>
          <w:szCs w:val="24"/>
        </w:rPr>
        <w:t xml:space="preserve">, </w:t>
      </w:r>
      <w:proofErr w:type="spellStart"/>
      <w:r w:rsidRPr="00367411">
        <w:rPr>
          <w:sz w:val="24"/>
          <w:szCs w:val="24"/>
        </w:rPr>
        <w:t>Human</w:t>
      </w:r>
      <w:proofErr w:type="spellEnd"/>
      <w:r w:rsidRPr="00367411">
        <w:rPr>
          <w:sz w:val="24"/>
          <w:szCs w:val="24"/>
        </w:rPr>
        <w:t xml:space="preserve"> relations</w:t>
      </w:r>
    </w:p>
    <w:p w:rsidR="00367411" w:rsidRPr="00367411" w:rsidRDefault="00367411" w:rsidP="00367411">
      <w:pPr>
        <w:pStyle w:val="Nadpis2"/>
        <w:rPr>
          <w:sz w:val="24"/>
          <w:szCs w:val="24"/>
        </w:rPr>
      </w:pPr>
      <w:r w:rsidRPr="00367411">
        <w:rPr>
          <w:color w:val="FF9900"/>
          <w:sz w:val="24"/>
          <w:szCs w:val="24"/>
        </w:rPr>
        <w:t>Determinanty:</w:t>
      </w:r>
      <w:r w:rsidRPr="00367411">
        <w:rPr>
          <w:sz w:val="24"/>
          <w:szCs w:val="24"/>
        </w:rPr>
        <w:t xml:space="preserve"> </w:t>
      </w:r>
      <w:r w:rsidRPr="00367411">
        <w:rPr>
          <w:sz w:val="24"/>
          <w:szCs w:val="24"/>
        </w:rPr>
        <w:tab/>
        <w:t>vnější – společenské, komunitní</w:t>
      </w:r>
    </w:p>
    <w:p w:rsidR="00367411" w:rsidRPr="00367411" w:rsidRDefault="00367411" w:rsidP="00367411">
      <w:pPr>
        <w:pStyle w:val="Nadpis2"/>
        <w:rPr>
          <w:sz w:val="24"/>
          <w:szCs w:val="24"/>
        </w:rPr>
      </w:pPr>
      <w:r w:rsidRPr="00367411">
        <w:rPr>
          <w:sz w:val="24"/>
          <w:szCs w:val="24"/>
        </w:rPr>
        <w:tab/>
      </w:r>
      <w:r w:rsidRPr="00367411">
        <w:rPr>
          <w:sz w:val="24"/>
          <w:szCs w:val="24"/>
        </w:rPr>
        <w:tab/>
      </w:r>
      <w:r w:rsidRPr="00367411">
        <w:rPr>
          <w:sz w:val="24"/>
          <w:szCs w:val="24"/>
        </w:rPr>
        <w:tab/>
      </w:r>
      <w:r w:rsidRPr="00367411">
        <w:rPr>
          <w:sz w:val="24"/>
          <w:szCs w:val="24"/>
        </w:rPr>
        <w:tab/>
        <w:t>vnitřní – určující</w:t>
      </w:r>
    </w:p>
    <w:p w:rsidR="00367411" w:rsidRPr="00367411" w:rsidRDefault="00367411" w:rsidP="00367411">
      <w:pPr>
        <w:pStyle w:val="Nadpis2"/>
        <w:rPr>
          <w:sz w:val="24"/>
          <w:szCs w:val="24"/>
        </w:rPr>
      </w:pPr>
      <w:r w:rsidRPr="00367411">
        <w:rPr>
          <w:sz w:val="24"/>
          <w:szCs w:val="24"/>
        </w:rPr>
        <w:tab/>
        <w:t>technické – fyzikální faktory, technika, technologie</w:t>
      </w:r>
    </w:p>
    <w:p w:rsidR="00367411" w:rsidRPr="00367411" w:rsidRDefault="00367411" w:rsidP="00367411">
      <w:pPr>
        <w:pStyle w:val="Nadpis2"/>
        <w:rPr>
          <w:sz w:val="24"/>
          <w:szCs w:val="24"/>
        </w:rPr>
      </w:pPr>
      <w:r w:rsidRPr="00367411">
        <w:rPr>
          <w:sz w:val="24"/>
          <w:szCs w:val="24"/>
        </w:rPr>
        <w:t xml:space="preserve">  </w:t>
      </w:r>
      <w:r w:rsidRPr="00367411">
        <w:rPr>
          <w:sz w:val="24"/>
          <w:szCs w:val="24"/>
        </w:rPr>
        <w:tab/>
        <w:t>ekonomické – organizace práce, odměňování</w:t>
      </w:r>
    </w:p>
    <w:p w:rsidR="00367411" w:rsidRPr="00367411" w:rsidRDefault="00367411" w:rsidP="0095367E">
      <w:pPr>
        <w:pStyle w:val="Nadpis2"/>
        <w:rPr>
          <w:sz w:val="24"/>
          <w:szCs w:val="24"/>
        </w:rPr>
      </w:pPr>
      <w:r w:rsidRPr="00367411">
        <w:rPr>
          <w:sz w:val="24"/>
          <w:szCs w:val="24"/>
        </w:rPr>
        <w:tab/>
        <w:t>sociálně psychologické – obsah a nároky pracovních činností, prestiž, sociální politika</w:t>
      </w:r>
    </w:p>
    <w:p w:rsidR="00367411" w:rsidRPr="00367411" w:rsidRDefault="00367411" w:rsidP="00367411">
      <w:pPr>
        <w:pStyle w:val="Nadpis2"/>
        <w:rPr>
          <w:sz w:val="24"/>
          <w:szCs w:val="24"/>
        </w:rPr>
      </w:pPr>
      <w:r w:rsidRPr="00367411">
        <w:rPr>
          <w:color w:val="FF9900"/>
          <w:sz w:val="24"/>
          <w:szCs w:val="24"/>
        </w:rPr>
        <w:t xml:space="preserve">Tvorba </w:t>
      </w:r>
      <w:r w:rsidR="0095367E">
        <w:rPr>
          <w:color w:val="FF9900"/>
          <w:sz w:val="24"/>
          <w:szCs w:val="24"/>
        </w:rPr>
        <w:t>sociálního klimatu</w:t>
      </w:r>
      <w:r w:rsidRPr="00367411">
        <w:rPr>
          <w:color w:val="FF9900"/>
          <w:sz w:val="24"/>
          <w:szCs w:val="24"/>
        </w:rPr>
        <w:t>:</w:t>
      </w:r>
      <w:r w:rsidRPr="00367411">
        <w:rPr>
          <w:sz w:val="24"/>
          <w:szCs w:val="24"/>
        </w:rPr>
        <w:t xml:space="preserve"> záměrné vytváření pracovních podmínek</w:t>
      </w:r>
    </w:p>
    <w:p w:rsidR="00367411" w:rsidRPr="00367411" w:rsidRDefault="00367411" w:rsidP="00367411">
      <w:pPr>
        <w:pStyle w:val="Nadpis2"/>
        <w:rPr>
          <w:sz w:val="24"/>
          <w:szCs w:val="24"/>
        </w:rPr>
      </w:pPr>
      <w:r w:rsidRPr="00367411">
        <w:rPr>
          <w:sz w:val="24"/>
          <w:szCs w:val="24"/>
        </w:rPr>
        <w:tab/>
        <w:t xml:space="preserve">Vývoj </w:t>
      </w:r>
      <w:r w:rsidR="0095367E">
        <w:rPr>
          <w:sz w:val="24"/>
          <w:szCs w:val="24"/>
        </w:rPr>
        <w:t>sociálního klimatu</w:t>
      </w:r>
      <w:r w:rsidRPr="00367411">
        <w:rPr>
          <w:sz w:val="24"/>
          <w:szCs w:val="24"/>
        </w:rPr>
        <w:t xml:space="preserve"> – potřeba </w:t>
      </w:r>
      <w:r w:rsidR="0095367E">
        <w:rPr>
          <w:sz w:val="24"/>
          <w:szCs w:val="24"/>
        </w:rPr>
        <w:t xml:space="preserve">jeho </w:t>
      </w:r>
      <w:r w:rsidRPr="00367411">
        <w:rPr>
          <w:sz w:val="24"/>
          <w:szCs w:val="24"/>
        </w:rPr>
        <w:t>poznávání</w:t>
      </w:r>
      <w:r w:rsidR="0095367E">
        <w:rPr>
          <w:sz w:val="24"/>
          <w:szCs w:val="24"/>
        </w:rPr>
        <w:t>, analýzy</w:t>
      </w:r>
    </w:p>
    <w:p w:rsidR="00367411" w:rsidRDefault="00367411" w:rsidP="00367411"/>
    <w:p w:rsidR="0095367E" w:rsidRPr="00367411" w:rsidRDefault="0095367E" w:rsidP="00367411"/>
    <w:p w:rsidR="00367411" w:rsidRPr="0095367E" w:rsidRDefault="00367411" w:rsidP="00367411">
      <w:pPr>
        <w:jc w:val="center"/>
        <w:rPr>
          <w:b/>
          <w:color w:val="FF0000"/>
        </w:rPr>
      </w:pPr>
      <w:r w:rsidRPr="0095367E">
        <w:rPr>
          <w:b/>
          <w:color w:val="FF0000"/>
        </w:rPr>
        <w:t>Podniková (firemní) kultura</w:t>
      </w:r>
    </w:p>
    <w:p w:rsidR="004B0D29" w:rsidRPr="00D2029E" w:rsidRDefault="00367411" w:rsidP="004B0D29">
      <w:pPr>
        <w:shd w:val="clear" w:color="auto" w:fill="FFFFFF"/>
        <w:rPr>
          <w:i/>
        </w:rPr>
      </w:pPr>
      <w:r w:rsidRPr="00367411">
        <w:rPr>
          <w:b/>
          <w:color w:val="000000"/>
        </w:rPr>
        <w:t>3 roviny:</w:t>
      </w:r>
      <w:r w:rsidRPr="00367411">
        <w:rPr>
          <w:color w:val="000000"/>
        </w:rPr>
        <w:t xml:space="preserve"> </w:t>
      </w:r>
      <w:r w:rsidRPr="00D2029E">
        <w:rPr>
          <w:i/>
          <w:iCs/>
          <w:color w:val="000000"/>
        </w:rPr>
        <w:t>(Truneček</w:t>
      </w:r>
      <w:r w:rsidR="004B0D29" w:rsidRPr="00D2029E">
        <w:rPr>
          <w:i/>
          <w:iCs/>
          <w:color w:val="000000"/>
        </w:rPr>
        <w:t xml:space="preserve">, </w:t>
      </w:r>
      <w:r w:rsidR="004B0D29" w:rsidRPr="00D2029E">
        <w:rPr>
          <w:i/>
        </w:rPr>
        <w:t xml:space="preserve">Management v informační </w:t>
      </w:r>
      <w:proofErr w:type="gramStart"/>
      <w:r w:rsidR="004B0D29" w:rsidRPr="00D2029E">
        <w:rPr>
          <w:i/>
        </w:rPr>
        <w:t>spole</w:t>
      </w:r>
      <w:r w:rsidR="00D2029E">
        <w:rPr>
          <w:i/>
        </w:rPr>
        <w:t>č</w:t>
      </w:r>
      <w:r w:rsidR="004B0D29" w:rsidRPr="00D2029E">
        <w:rPr>
          <w:i/>
        </w:rPr>
        <w:t>nosti</w:t>
      </w:r>
      <w:r w:rsidR="00D2029E">
        <w:rPr>
          <w:i/>
        </w:rPr>
        <w:t>,1997</w:t>
      </w:r>
      <w:proofErr w:type="gramEnd"/>
      <w:r w:rsidR="00D2029E">
        <w:rPr>
          <w:i/>
        </w:rPr>
        <w:t xml:space="preserve">) </w:t>
      </w:r>
    </w:p>
    <w:p w:rsidR="00D2029E" w:rsidRDefault="00D2029E" w:rsidP="00367411">
      <w:pPr>
        <w:rPr>
          <w:color w:val="000000"/>
        </w:rPr>
      </w:pPr>
    </w:p>
    <w:p w:rsidR="00367411" w:rsidRPr="00367411" w:rsidRDefault="00367411" w:rsidP="00367411">
      <w:pPr>
        <w:rPr>
          <w:color w:val="000000"/>
        </w:rPr>
      </w:pPr>
      <w:r w:rsidRPr="00472B5D">
        <w:rPr>
          <w:b/>
          <w:color w:val="000000"/>
        </w:rPr>
        <w:t>Symboly</w:t>
      </w:r>
      <w:r w:rsidRPr="00367411">
        <w:rPr>
          <w:color w:val="000000"/>
        </w:rPr>
        <w:t xml:space="preserve"> – viditelné a vědomě ovlivnitelné skutečnosti, které vyjadřují a přesně vystihují podnikové cíle a reprezentují podnikovou kulturu (logo, podnikové barvy, jednotné oblečení, vzájemné oslovování, udělování vyznamenání, oslavy výročí založení firmy nebo jiná výročí, příběhy a vyprávění o podnikových událostech, vytvoření pracovních podmínek na pracovišti, celková estetická úroveň uplatňovaná v podniku atd.)</w:t>
      </w:r>
      <w:r w:rsidRPr="00367411">
        <w:rPr>
          <w:i/>
          <w:iCs/>
          <w:color w:val="000000"/>
        </w:rPr>
        <w:t xml:space="preserve"> </w:t>
      </w:r>
    </w:p>
    <w:p w:rsidR="00367411" w:rsidRPr="00367411" w:rsidRDefault="00367411" w:rsidP="00367411">
      <w:pPr>
        <w:rPr>
          <w:color w:val="000000"/>
        </w:rPr>
      </w:pPr>
      <w:r w:rsidRPr="00472B5D">
        <w:rPr>
          <w:b/>
          <w:color w:val="000000"/>
        </w:rPr>
        <w:t>Pravidla jednání</w:t>
      </w:r>
      <w:r w:rsidRPr="00367411">
        <w:rPr>
          <w:color w:val="000000"/>
        </w:rPr>
        <w:t xml:space="preserve"> - sociální normy a standardy jednání, zásady, pravidla, vyjádření podnikové ideologie apod.  </w:t>
      </w:r>
    </w:p>
    <w:p w:rsidR="00367411" w:rsidRPr="00367411" w:rsidRDefault="00367411" w:rsidP="00367411">
      <w:pPr>
        <w:rPr>
          <w:color w:val="000000"/>
        </w:rPr>
      </w:pPr>
      <w:r w:rsidRPr="00472B5D">
        <w:rPr>
          <w:b/>
          <w:color w:val="000000"/>
        </w:rPr>
        <w:t>Základní životní představy</w:t>
      </w:r>
      <w:r w:rsidRPr="00367411">
        <w:rPr>
          <w:color w:val="000000"/>
        </w:rPr>
        <w:t xml:space="preserve"> – očekávání zaměstnanců a způsoby jejich motivace, schopnosti a dovednosti</w:t>
      </w:r>
    </w:p>
    <w:p w:rsidR="00367411" w:rsidRPr="00367411" w:rsidRDefault="00367411" w:rsidP="00367411">
      <w:pPr>
        <w:rPr>
          <w:color w:val="000000"/>
        </w:rPr>
      </w:pPr>
    </w:p>
    <w:p w:rsidR="00367411" w:rsidRPr="00472B5D" w:rsidRDefault="00367411" w:rsidP="00472B5D">
      <w:pPr>
        <w:shd w:val="clear" w:color="auto" w:fill="FFFFFF"/>
        <w:rPr>
          <w:color w:val="000000"/>
        </w:rPr>
      </w:pPr>
      <w:r w:rsidRPr="00367411">
        <w:rPr>
          <w:b/>
          <w:color w:val="000000"/>
        </w:rPr>
        <w:t>Tři úrovně podnikové kultury</w:t>
      </w:r>
      <w:r w:rsidRPr="00367411">
        <w:rPr>
          <w:color w:val="000000"/>
        </w:rPr>
        <w:t xml:space="preserve"> </w:t>
      </w:r>
      <w:r w:rsidRPr="00D2029E">
        <w:rPr>
          <w:i/>
          <w:iCs/>
          <w:color w:val="000000"/>
        </w:rPr>
        <w:t>(</w:t>
      </w:r>
      <w:proofErr w:type="spellStart"/>
      <w:r w:rsidRPr="00D2029E">
        <w:rPr>
          <w:i/>
          <w:iCs/>
          <w:color w:val="000000"/>
        </w:rPr>
        <w:t>Schein</w:t>
      </w:r>
      <w:proofErr w:type="spellEnd"/>
      <w:r w:rsidR="00D2029E" w:rsidRPr="00D2029E">
        <w:rPr>
          <w:i/>
          <w:iCs/>
          <w:color w:val="000000"/>
        </w:rPr>
        <w:t xml:space="preserve">, </w:t>
      </w:r>
      <w:r w:rsidR="00D2029E" w:rsidRPr="00D2029E">
        <w:rPr>
          <w:i/>
        </w:rPr>
        <w:t>Psychologie organizace, 1969</w:t>
      </w:r>
      <w:r w:rsidRPr="00D2029E">
        <w:rPr>
          <w:i/>
          <w:iCs/>
          <w:color w:val="000000"/>
        </w:rPr>
        <w:t>)</w:t>
      </w:r>
    </w:p>
    <w:p w:rsidR="00472B5D" w:rsidRDefault="00472B5D" w:rsidP="00367411"/>
    <w:p w:rsidR="00472B5D" w:rsidRDefault="00472B5D" w:rsidP="00472B5D">
      <w:r w:rsidRPr="00472B5D">
        <w:drawing>
          <wp:inline distT="0" distB="0" distL="0" distR="0">
            <wp:extent cx="5972810" cy="3897630"/>
            <wp:effectExtent l="0" t="0" r="0" b="0"/>
            <wp:docPr id="3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91600" cy="5867400"/>
                      <a:chOff x="152400" y="990600"/>
                      <a:chExt cx="8991600" cy="5867400"/>
                    </a:xfrm>
                  </a:grpSpPr>
                  <a:sp>
                    <a:nvSpPr>
                      <a:cNvPr id="52227" name="Rectangle 1027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152400" y="990600"/>
                        <a:ext cx="8991600" cy="5867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3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8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4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–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5pPr>
                          <a:lvl6pPr marL="25146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6pPr>
                          <a:lvl7pPr marL="29718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7pPr>
                          <a:lvl8pPr marL="34290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8pPr>
                          <a:lvl9pPr marL="3886200" indent="-22860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»"/>
                            <a:defRPr sz="2000">
                              <a:solidFill>
                                <a:schemeClr val="tx1"/>
                              </a:solidFill>
                              <a:latin typeface="+mn-lt"/>
                            </a:defRPr>
                          </a:lvl9pPr>
                        </a:lstStyle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cs-CZ" sz="2400" smtClean="0"/>
                            <a:t>       Systémy symbolů			      Vědomé, ovlivnitelné</a:t>
                          </a:r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cs-CZ" sz="2000" i="1" smtClean="0"/>
                            <a:t> Řeč, formy společenského</a:t>
                          </a:r>
                          <a:r>
                            <a:rPr lang="cs-CZ" sz="2400" smtClean="0"/>
                            <a:t>		             </a:t>
                          </a:r>
                          <a:r>
                            <a:rPr lang="cs-CZ" sz="2000" i="1" smtClean="0"/>
                            <a:t>Viditelné, ale je nutné vysvětlení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styku, obřady, rituály, oblečení, logo..           významu symbolů, jejich interpretace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endParaRPr lang="cs-CZ" sz="2000" i="1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cs-CZ" sz="2400" smtClean="0"/>
                            <a:t>  </a:t>
                          </a:r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cs-CZ" sz="2400" smtClean="0"/>
                            <a:t>    Sociální normy a standardy 	Částečně vědomé a do jisté míry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400" smtClean="0"/>
                            <a:t>                    jednání                                             ovlivnitelné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endParaRPr lang="cs-CZ" sz="2000" i="1" smtClean="0"/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 Zásady, pravidla, standardy,                         Pro vnější pozorovatele jen částečně 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 podniková ideologie, linie jednání                 zřejmé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endParaRPr lang="cs-CZ" sz="2400" smtClean="0"/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cs-CZ" sz="2400" smtClean="0"/>
                            <a:t> </a:t>
                          </a:r>
                        </a:p>
                        <a:p>
                          <a:pPr eaLnBrk="1" hangingPunct="1">
                            <a:buFontTx/>
                            <a:buNone/>
                          </a:pPr>
                          <a:r>
                            <a:rPr lang="cs-CZ" sz="2400" smtClean="0"/>
                            <a:t> Základní představy, východiska	     Nevědomé, spontánní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Vztah ke světu, představy o povaze                Pro vnějšího pozorovatele neviditelné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člověka, příčinách jeho jednání 			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a povaze mezilidských vztahů, co je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r>
                            <a:rPr lang="cs-CZ" sz="2000" i="1" smtClean="0"/>
                            <a:t> zdrojem a kdo je nositelem pravdy</a:t>
                          </a:r>
                        </a:p>
                        <a:p>
                          <a:pPr eaLnBrk="1" hangingPunct="1">
                            <a:lnSpc>
                              <a:spcPct val="80000"/>
                            </a:lnSpc>
                            <a:spcBef>
                              <a:spcPct val="0"/>
                            </a:spcBef>
                            <a:buFontTx/>
                            <a:buNone/>
                          </a:pPr>
                          <a:endParaRPr lang="cs-CZ" sz="2000" i="1" smtClean="0"/>
                        </a:p>
                      </a:txBody>
                      <a:useSpRect/>
                    </a:txSp>
                  </a:sp>
                  <a:sp>
                    <a:nvSpPr>
                      <a:cNvPr id="52228" name="Rectangle 1028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990600"/>
                        <a:ext cx="3962400" cy="12192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CC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29" name="Line 1029"/>
                      <a:cNvSpPr>
                        <a:spLocks noChangeShapeType="1"/>
                      </a:cNvSpPr>
                    </a:nvSpPr>
                    <a:spPr bwMode="auto">
                      <a:xfrm>
                        <a:off x="228600" y="1447800"/>
                        <a:ext cx="3962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0" name="Rectangle 1030"/>
                      <a:cNvSpPr>
                        <a:spLocks noChangeArrowheads="1"/>
                      </a:cNvSpPr>
                    </a:nvSpPr>
                    <a:spPr bwMode="auto">
                      <a:xfrm>
                        <a:off x="4724400" y="990600"/>
                        <a:ext cx="4038600" cy="12192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CC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1" name="Line 1031"/>
                      <a:cNvSpPr>
                        <a:spLocks noChangeShapeType="1"/>
                      </a:cNvSpPr>
                    </a:nvSpPr>
                    <a:spPr bwMode="auto">
                      <a:xfrm>
                        <a:off x="4724400" y="1447800"/>
                        <a:ext cx="3962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2" name="Rectangle 1032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2743200"/>
                        <a:ext cx="3962400" cy="16002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CC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3" name="Line 1033"/>
                      <a:cNvSpPr>
                        <a:spLocks noChangeShapeType="1"/>
                      </a:cNvSpPr>
                    </a:nvSpPr>
                    <a:spPr bwMode="auto">
                      <a:xfrm>
                        <a:off x="228600" y="3505200"/>
                        <a:ext cx="3962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4" name="Rectangle 1034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5257800"/>
                        <a:ext cx="4191000" cy="1295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5" name="Rectangle 1035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4876800"/>
                        <a:ext cx="40386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6" name="Rectangle 1036"/>
                      <a:cNvSpPr>
                        <a:spLocks noChangeArrowheads="1"/>
                      </a:cNvSpPr>
                    </a:nvSpPr>
                    <a:spPr bwMode="auto">
                      <a:xfrm>
                        <a:off x="228600" y="4953000"/>
                        <a:ext cx="3962400" cy="17526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CC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7" name="Line 1037"/>
                      <a:cNvSpPr>
                        <a:spLocks noChangeShapeType="1"/>
                      </a:cNvSpPr>
                    </a:nvSpPr>
                    <a:spPr bwMode="auto">
                      <a:xfrm>
                        <a:off x="228600" y="5486400"/>
                        <a:ext cx="3962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8" name="Line 1038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066800" y="2209800"/>
                        <a:ext cx="0" cy="5334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39" name="Line 1039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1066800" y="4343400"/>
                        <a:ext cx="0" cy="6096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0" name="Line 1040"/>
                      <a:cNvSpPr>
                        <a:spLocks noChangeShapeType="1"/>
                      </a:cNvSpPr>
                    </a:nvSpPr>
                    <a:spPr bwMode="auto">
                      <a:xfrm>
                        <a:off x="3276600" y="2209800"/>
                        <a:ext cx="0" cy="5334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1" name="Line 1041"/>
                      <a:cNvSpPr>
                        <a:spLocks noChangeShapeType="1"/>
                      </a:cNvSpPr>
                    </a:nvSpPr>
                    <a:spPr bwMode="auto">
                      <a:xfrm>
                        <a:off x="3276600" y="4343400"/>
                        <a:ext cx="0" cy="6096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2" name="Rectangle 1042"/>
                      <a:cNvSpPr>
                        <a:spLocks noChangeArrowheads="1"/>
                      </a:cNvSpPr>
                    </a:nvSpPr>
                    <a:spPr bwMode="auto">
                      <a:xfrm>
                        <a:off x="4724400" y="2743200"/>
                        <a:ext cx="4038600" cy="16002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CC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3" name="Line 1043"/>
                      <a:cNvSpPr>
                        <a:spLocks noChangeShapeType="1"/>
                      </a:cNvSpPr>
                    </a:nvSpPr>
                    <a:spPr bwMode="auto">
                      <a:xfrm>
                        <a:off x="4724400" y="3505200"/>
                        <a:ext cx="4038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4" name="Rectangle 1044"/>
                      <a:cNvSpPr>
                        <a:spLocks noChangeArrowheads="1"/>
                      </a:cNvSpPr>
                    </a:nvSpPr>
                    <a:spPr bwMode="auto">
                      <a:xfrm>
                        <a:off x="4724400" y="4953000"/>
                        <a:ext cx="4038600" cy="121920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CC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5" name="Line 1045"/>
                      <a:cNvSpPr>
                        <a:spLocks noChangeShapeType="1"/>
                      </a:cNvSpPr>
                    </a:nvSpPr>
                    <a:spPr bwMode="auto">
                      <a:xfrm>
                        <a:off x="4724400" y="5486400"/>
                        <a:ext cx="4038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6" name="Line 104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781800" y="4343400"/>
                        <a:ext cx="0" cy="6096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  <a:sp>
                    <a:nvSpPr>
                      <a:cNvPr id="52247" name="Line 1047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6781800" y="2209800"/>
                        <a:ext cx="0" cy="5334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CC00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cs-CZ"/>
                          </a:defPPr>
                          <a:lvl1pPr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72B5D" w:rsidRDefault="00472B5D" w:rsidP="00367411"/>
    <w:p w:rsidR="00367411" w:rsidRPr="00367411" w:rsidRDefault="00367411" w:rsidP="00367411">
      <w:pPr>
        <w:pStyle w:val="Nadpis1"/>
        <w:jc w:val="left"/>
        <w:rPr>
          <w:b/>
          <w:color w:val="000000"/>
          <w:sz w:val="24"/>
          <w:szCs w:val="24"/>
        </w:rPr>
      </w:pPr>
      <w:r w:rsidRPr="00367411">
        <w:rPr>
          <w:b/>
          <w:color w:val="000000"/>
          <w:sz w:val="24"/>
          <w:szCs w:val="24"/>
        </w:rPr>
        <w:lastRenderedPageBreak/>
        <w:t xml:space="preserve">Úrovně: </w:t>
      </w:r>
    </w:p>
    <w:p w:rsidR="00472B5D" w:rsidRDefault="00367411" w:rsidP="00472B5D">
      <w:pPr>
        <w:pStyle w:val="Nadpis1"/>
        <w:numPr>
          <w:ilvl w:val="0"/>
          <w:numId w:val="5"/>
        </w:numPr>
        <w:ind w:left="284" w:hanging="284"/>
        <w:jc w:val="left"/>
        <w:rPr>
          <w:color w:val="000000"/>
          <w:sz w:val="24"/>
          <w:szCs w:val="24"/>
        </w:rPr>
      </w:pPr>
      <w:r w:rsidRPr="00367411">
        <w:rPr>
          <w:color w:val="000000"/>
          <w:sz w:val="24"/>
          <w:szCs w:val="24"/>
        </w:rPr>
        <w:t>Nadnárodní kultura – industriální (</w:t>
      </w:r>
      <w:proofErr w:type="spellStart"/>
      <w:proofErr w:type="gramStart"/>
      <w:r w:rsidRPr="00367411">
        <w:rPr>
          <w:color w:val="000000"/>
          <w:sz w:val="24"/>
          <w:szCs w:val="24"/>
        </w:rPr>
        <w:t>např.euroamerická</w:t>
      </w:r>
      <w:proofErr w:type="spellEnd"/>
      <w:proofErr w:type="gramEnd"/>
      <w:r w:rsidRPr="00367411">
        <w:rPr>
          <w:color w:val="000000"/>
          <w:sz w:val="24"/>
          <w:szCs w:val="24"/>
        </w:rPr>
        <w:t>)</w:t>
      </w:r>
    </w:p>
    <w:p w:rsidR="00472B5D" w:rsidRDefault="00367411" w:rsidP="00472B5D">
      <w:pPr>
        <w:pStyle w:val="Nadpis1"/>
        <w:numPr>
          <w:ilvl w:val="0"/>
          <w:numId w:val="5"/>
        </w:numPr>
        <w:ind w:left="284" w:hanging="284"/>
        <w:jc w:val="left"/>
        <w:rPr>
          <w:color w:val="000000"/>
          <w:sz w:val="24"/>
          <w:szCs w:val="24"/>
        </w:rPr>
      </w:pPr>
      <w:r w:rsidRPr="00367411">
        <w:rPr>
          <w:color w:val="000000"/>
          <w:sz w:val="24"/>
          <w:szCs w:val="24"/>
        </w:rPr>
        <w:t>Národní kultura (např. česká, japonská, italská, německá)</w:t>
      </w:r>
    </w:p>
    <w:p w:rsidR="00472B5D" w:rsidRDefault="00367411" w:rsidP="00472B5D">
      <w:pPr>
        <w:pStyle w:val="Nadpis1"/>
        <w:numPr>
          <w:ilvl w:val="0"/>
          <w:numId w:val="5"/>
        </w:numPr>
        <w:ind w:left="284" w:hanging="284"/>
        <w:jc w:val="left"/>
        <w:rPr>
          <w:color w:val="000000"/>
          <w:sz w:val="24"/>
          <w:szCs w:val="24"/>
        </w:rPr>
      </w:pPr>
      <w:r w:rsidRPr="00367411">
        <w:rPr>
          <w:color w:val="000000"/>
          <w:sz w:val="24"/>
          <w:szCs w:val="24"/>
        </w:rPr>
        <w:t xml:space="preserve">Kultura vlastní firmy </w:t>
      </w:r>
    </w:p>
    <w:p w:rsidR="00367411" w:rsidRPr="00367411" w:rsidRDefault="00367411" w:rsidP="00472B5D">
      <w:pPr>
        <w:pStyle w:val="Nadpis1"/>
        <w:numPr>
          <w:ilvl w:val="0"/>
          <w:numId w:val="5"/>
        </w:numPr>
        <w:ind w:left="284" w:hanging="284"/>
        <w:jc w:val="left"/>
        <w:rPr>
          <w:color w:val="000000"/>
          <w:sz w:val="24"/>
          <w:szCs w:val="24"/>
        </w:rPr>
      </w:pPr>
      <w:r w:rsidRPr="00367411">
        <w:rPr>
          <w:color w:val="000000"/>
          <w:sz w:val="24"/>
          <w:szCs w:val="24"/>
        </w:rPr>
        <w:t>Subkultury (</w:t>
      </w:r>
      <w:proofErr w:type="spellStart"/>
      <w:proofErr w:type="gramStart"/>
      <w:r w:rsidRPr="00367411">
        <w:rPr>
          <w:color w:val="000000"/>
          <w:sz w:val="24"/>
          <w:szCs w:val="24"/>
        </w:rPr>
        <w:t>např.kultura</w:t>
      </w:r>
      <w:proofErr w:type="spellEnd"/>
      <w:proofErr w:type="gramEnd"/>
      <w:r w:rsidRPr="00367411">
        <w:rPr>
          <w:color w:val="000000"/>
          <w:sz w:val="24"/>
          <w:szCs w:val="24"/>
        </w:rPr>
        <w:t xml:space="preserve"> dělníků, kultura vedení)</w:t>
      </w:r>
    </w:p>
    <w:p w:rsidR="00367411" w:rsidRPr="00367411" w:rsidRDefault="00367411" w:rsidP="00472B5D">
      <w:pPr>
        <w:pStyle w:val="Nadpis1"/>
        <w:jc w:val="left"/>
        <w:rPr>
          <w:color w:val="000000"/>
          <w:sz w:val="24"/>
          <w:szCs w:val="24"/>
        </w:rPr>
      </w:pPr>
      <w:r w:rsidRPr="00367411">
        <w:rPr>
          <w:color w:val="000000"/>
          <w:sz w:val="24"/>
          <w:szCs w:val="24"/>
        </w:rPr>
        <w:t>Problémy u zahraničních firem – přebírání firemní kultury</w:t>
      </w:r>
      <w:r w:rsidR="00472B5D">
        <w:rPr>
          <w:color w:val="000000"/>
          <w:sz w:val="24"/>
          <w:szCs w:val="24"/>
        </w:rPr>
        <w:t xml:space="preserve"> bez ohledu na historické a kulturní souvislosti </w:t>
      </w:r>
      <w:r w:rsidR="00472B5D" w:rsidRPr="00472B5D">
        <w:rPr>
          <w:i/>
          <w:color w:val="000000"/>
          <w:sz w:val="24"/>
          <w:szCs w:val="24"/>
        </w:rPr>
        <w:t>(</w:t>
      </w:r>
      <w:r w:rsidR="00472B5D">
        <w:rPr>
          <w:i/>
          <w:color w:val="000000"/>
          <w:sz w:val="24"/>
          <w:szCs w:val="24"/>
        </w:rPr>
        <w:t>„</w:t>
      </w:r>
      <w:r w:rsidR="00472B5D" w:rsidRPr="00472B5D">
        <w:rPr>
          <w:i/>
          <w:color w:val="000000"/>
          <w:sz w:val="24"/>
          <w:szCs w:val="24"/>
        </w:rPr>
        <w:t>co platí v Kazachstánu, platí i v</w:t>
      </w:r>
      <w:r w:rsidR="00472B5D">
        <w:rPr>
          <w:i/>
          <w:color w:val="000000"/>
          <w:sz w:val="24"/>
          <w:szCs w:val="24"/>
        </w:rPr>
        <w:t> </w:t>
      </w:r>
      <w:r w:rsidR="00472B5D" w:rsidRPr="00472B5D">
        <w:rPr>
          <w:i/>
          <w:color w:val="000000"/>
          <w:sz w:val="24"/>
          <w:szCs w:val="24"/>
        </w:rPr>
        <w:t>ČR</w:t>
      </w:r>
      <w:r w:rsidR="00472B5D">
        <w:rPr>
          <w:i/>
          <w:color w:val="000000"/>
          <w:sz w:val="24"/>
          <w:szCs w:val="24"/>
        </w:rPr>
        <w:t>“</w:t>
      </w:r>
      <w:r w:rsidR="00472B5D" w:rsidRPr="00472B5D">
        <w:rPr>
          <w:i/>
          <w:color w:val="000000"/>
          <w:sz w:val="24"/>
          <w:szCs w:val="24"/>
        </w:rPr>
        <w:t>)</w:t>
      </w:r>
    </w:p>
    <w:p w:rsidR="00472B5D" w:rsidRDefault="00472B5D" w:rsidP="00367411">
      <w:pPr>
        <w:pStyle w:val="Nadpis1"/>
        <w:jc w:val="left"/>
        <w:rPr>
          <w:b/>
          <w:bCs/>
          <w:color w:val="000000"/>
          <w:sz w:val="24"/>
          <w:szCs w:val="24"/>
        </w:rPr>
      </w:pPr>
    </w:p>
    <w:p w:rsidR="00367411" w:rsidRPr="00367411" w:rsidRDefault="00367411" w:rsidP="00367411">
      <w:pPr>
        <w:pStyle w:val="Nadpis1"/>
        <w:jc w:val="left"/>
        <w:rPr>
          <w:color w:val="000000"/>
          <w:sz w:val="24"/>
          <w:szCs w:val="24"/>
        </w:rPr>
      </w:pPr>
      <w:r w:rsidRPr="00367411">
        <w:rPr>
          <w:b/>
          <w:bCs/>
          <w:color w:val="000000"/>
          <w:sz w:val="24"/>
          <w:szCs w:val="24"/>
        </w:rPr>
        <w:t>Znaky silné firemní kultury</w:t>
      </w:r>
      <w:r w:rsidRPr="00367411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367411" w:rsidRPr="00367411" w:rsidRDefault="00367411" w:rsidP="00367411">
      <w:pPr>
        <w:pStyle w:val="Nadpis1"/>
        <w:jc w:val="left"/>
        <w:rPr>
          <w:color w:val="000000"/>
          <w:sz w:val="24"/>
          <w:szCs w:val="24"/>
        </w:rPr>
      </w:pPr>
      <w:r w:rsidRPr="00367411">
        <w:rPr>
          <w:b/>
          <w:bCs/>
          <w:i/>
          <w:iCs/>
          <w:color w:val="000000"/>
          <w:sz w:val="24"/>
          <w:szCs w:val="24"/>
        </w:rPr>
        <w:t>pregnantnost:</w:t>
      </w:r>
      <w:r w:rsidRPr="00367411">
        <w:rPr>
          <w:color w:val="000000"/>
          <w:sz w:val="24"/>
          <w:szCs w:val="24"/>
        </w:rPr>
        <w:t xml:space="preserve"> přehledné, jasné a srozumitelné vyjádření toho, které jednání je žádoucí nebo nutné, které je ještě akceptovatelné a které je vyloučené nebo nepřípustné</w:t>
      </w:r>
      <w:r w:rsidRPr="00367411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367411" w:rsidRPr="00367411" w:rsidRDefault="00367411" w:rsidP="00367411">
      <w:pPr>
        <w:pStyle w:val="Nadpis1"/>
        <w:jc w:val="left"/>
        <w:rPr>
          <w:color w:val="000000"/>
          <w:sz w:val="24"/>
          <w:szCs w:val="24"/>
        </w:rPr>
      </w:pPr>
      <w:r w:rsidRPr="00367411">
        <w:rPr>
          <w:b/>
          <w:bCs/>
          <w:i/>
          <w:iCs/>
          <w:color w:val="000000"/>
          <w:sz w:val="24"/>
          <w:szCs w:val="24"/>
        </w:rPr>
        <w:t>rozšířenost:</w:t>
      </w:r>
      <w:r w:rsidRPr="00367411">
        <w:rPr>
          <w:color w:val="000000"/>
          <w:sz w:val="24"/>
          <w:szCs w:val="24"/>
        </w:rPr>
        <w:t xml:space="preserve"> zaměstnanci jednotlivé prvky firemní kultury přiměřeně znají a s jejich existencí se průběžně setkávají</w:t>
      </w:r>
      <w:r w:rsidRPr="00367411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367411" w:rsidRPr="00367411" w:rsidRDefault="00367411" w:rsidP="00367411">
      <w:pPr>
        <w:pStyle w:val="Nadpis1"/>
        <w:jc w:val="left"/>
        <w:rPr>
          <w:color w:val="000000"/>
          <w:sz w:val="24"/>
          <w:szCs w:val="24"/>
        </w:rPr>
      </w:pPr>
      <w:r w:rsidRPr="00367411">
        <w:rPr>
          <w:b/>
          <w:bCs/>
          <w:i/>
          <w:iCs/>
          <w:color w:val="000000"/>
          <w:sz w:val="24"/>
          <w:szCs w:val="24"/>
        </w:rPr>
        <w:t>zakotvenost:</w:t>
      </w:r>
      <w:r w:rsidRPr="00367411">
        <w:rPr>
          <w:color w:val="000000"/>
          <w:sz w:val="24"/>
          <w:szCs w:val="24"/>
        </w:rPr>
        <w:t xml:space="preserve"> míra internalizace hodnot, vzorů a norem jednání a míra identifikace zaměstnanců s nimi</w:t>
      </w:r>
    </w:p>
    <w:p w:rsidR="00367411" w:rsidRPr="00367411" w:rsidRDefault="00367411" w:rsidP="00367411">
      <w:pPr>
        <w:pStyle w:val="Nadpis1"/>
        <w:jc w:val="left"/>
        <w:rPr>
          <w:color w:val="000000"/>
          <w:sz w:val="24"/>
          <w:szCs w:val="24"/>
        </w:rPr>
      </w:pPr>
    </w:p>
    <w:p w:rsidR="00367411" w:rsidRPr="00367411" w:rsidRDefault="00367411" w:rsidP="00367411">
      <w:r w:rsidRPr="00367411">
        <w:rPr>
          <w:b/>
          <w:bCs/>
        </w:rPr>
        <w:t>Silná firemní kultura</w:t>
      </w:r>
    </w:p>
    <w:p w:rsidR="00367411" w:rsidRPr="00367411" w:rsidRDefault="00367411" w:rsidP="00367411">
      <w:pPr>
        <w:numPr>
          <w:ilvl w:val="0"/>
          <w:numId w:val="3"/>
        </w:numPr>
      </w:pPr>
      <w:r w:rsidRPr="00367411">
        <w:t>usnadňuje jasný pohled na hospodářskou organizaci, činí ji pro zaměstnance přehlednou a snadno pochopitelnou</w:t>
      </w:r>
    </w:p>
    <w:p w:rsidR="00367411" w:rsidRPr="00367411" w:rsidRDefault="00367411" w:rsidP="00367411">
      <w:pPr>
        <w:numPr>
          <w:ilvl w:val="0"/>
          <w:numId w:val="3"/>
        </w:numPr>
      </w:pPr>
      <w:r w:rsidRPr="00367411">
        <w:t>vytváří podmínky pro jednoduchou a jednoznačnou komunikaci; informační cesty jsou otevřené, opírají se o neformální vazby; informace jsou spolehlivě interpretovány</w:t>
      </w:r>
    </w:p>
    <w:p w:rsidR="00367411" w:rsidRPr="00367411" w:rsidRDefault="00367411" w:rsidP="00367411">
      <w:pPr>
        <w:numPr>
          <w:ilvl w:val="0"/>
          <w:numId w:val="3"/>
        </w:numPr>
      </w:pPr>
      <w:r w:rsidRPr="00367411">
        <w:t>umožňuje rychlé řídící rozhodování vzhledem k tomu, že převládá všeobecně akceptovaná představa cílů organizace a možnost opírat se o společné hodnoty</w:t>
      </w:r>
    </w:p>
    <w:p w:rsidR="00367411" w:rsidRPr="00367411" w:rsidRDefault="00367411" w:rsidP="00367411">
      <w:pPr>
        <w:numPr>
          <w:ilvl w:val="0"/>
          <w:numId w:val="3"/>
        </w:numPr>
      </w:pPr>
      <w:r w:rsidRPr="00367411">
        <w:t>urychluje plynulé zvládání technických inovací (mají všeobecnou podporu)</w:t>
      </w:r>
    </w:p>
    <w:p w:rsidR="00367411" w:rsidRPr="00367411" w:rsidRDefault="00367411" w:rsidP="00367411">
      <w:pPr>
        <w:numPr>
          <w:ilvl w:val="0"/>
          <w:numId w:val="3"/>
        </w:numPr>
      </w:pPr>
      <w:r w:rsidRPr="00367411">
        <w:t>snižuje nároky na kontrolu zaměstnanců (vysoký stupeň identifikace s firmou + důrazná neformální sociální kontrola)</w:t>
      </w:r>
    </w:p>
    <w:p w:rsidR="00367411" w:rsidRPr="00367411" w:rsidRDefault="00367411" w:rsidP="00367411">
      <w:pPr>
        <w:numPr>
          <w:ilvl w:val="0"/>
          <w:numId w:val="3"/>
        </w:numPr>
      </w:pPr>
      <w:r w:rsidRPr="00367411">
        <w:t>zvyšuje pracovní ochotu a týmového ducha</w:t>
      </w:r>
    </w:p>
    <w:p w:rsidR="00367411" w:rsidRPr="00367411" w:rsidRDefault="00367411" w:rsidP="00367411">
      <w:pPr>
        <w:numPr>
          <w:ilvl w:val="0"/>
          <w:numId w:val="3"/>
        </w:numPr>
      </w:pPr>
      <w:r w:rsidRPr="00367411">
        <w:t>zajišťuje stabilitu zaměstnaneckého kolektivu (malá fluktuace)</w:t>
      </w:r>
    </w:p>
    <w:p w:rsidR="00472B5D" w:rsidRPr="00472B5D" w:rsidRDefault="00367411" w:rsidP="00367411">
      <w:pPr>
        <w:rPr>
          <w:color w:val="FF0000"/>
        </w:rPr>
      </w:pPr>
      <w:r w:rsidRPr="00367411">
        <w:t xml:space="preserve">                                 </w:t>
      </w:r>
      <w:r w:rsidR="00472B5D">
        <w:tab/>
      </w:r>
      <w:r w:rsidR="00472B5D">
        <w:tab/>
      </w:r>
      <w:r w:rsidR="00472B5D">
        <w:tab/>
      </w:r>
      <w:r w:rsidRPr="00472B5D">
        <w:rPr>
          <w:color w:val="FF0000"/>
        </w:rPr>
        <w:t xml:space="preserve">ALE </w:t>
      </w:r>
    </w:p>
    <w:p w:rsidR="00367411" w:rsidRDefault="00367411" w:rsidP="00472B5D">
      <w:pPr>
        <w:ind w:left="1416" w:firstLine="708"/>
      </w:pPr>
      <w:r w:rsidRPr="00367411">
        <w:t xml:space="preserve">rizika při změně </w:t>
      </w:r>
      <w:r w:rsidR="00472B5D">
        <w:t>firemní kultury</w:t>
      </w:r>
    </w:p>
    <w:p w:rsidR="00472B5D" w:rsidRDefault="00472B5D" w:rsidP="00472B5D">
      <w:pPr>
        <w:ind w:left="708" w:firstLine="708"/>
      </w:pPr>
    </w:p>
    <w:p w:rsidR="00472B5D" w:rsidRPr="00367411" w:rsidRDefault="00472B5D" w:rsidP="00472B5D">
      <w:pPr>
        <w:ind w:left="708" w:firstLine="708"/>
      </w:pPr>
    </w:p>
    <w:p w:rsidR="00367411" w:rsidRPr="00472B5D" w:rsidRDefault="00367411" w:rsidP="00367411">
      <w:pPr>
        <w:pStyle w:val="Nadpis1"/>
        <w:rPr>
          <w:sz w:val="32"/>
          <w:szCs w:val="32"/>
        </w:rPr>
      </w:pPr>
      <w:r w:rsidRPr="00472B5D">
        <w:rPr>
          <w:sz w:val="32"/>
          <w:szCs w:val="32"/>
        </w:rPr>
        <w:t>Základní okruhy zkoumání sociálního klimatu</w:t>
      </w:r>
    </w:p>
    <w:p w:rsidR="00367411" w:rsidRPr="00367411" w:rsidRDefault="00367411" w:rsidP="00367411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367411">
        <w:rPr>
          <w:sz w:val="24"/>
          <w:szCs w:val="24"/>
        </w:rPr>
        <w:t>Výběr, příp. nábor nových pracovníků, jejich stabilizace</w:t>
      </w:r>
    </w:p>
    <w:p w:rsidR="00367411" w:rsidRPr="00367411" w:rsidRDefault="00367411" w:rsidP="00367411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367411">
        <w:rPr>
          <w:sz w:val="24"/>
          <w:szCs w:val="24"/>
        </w:rPr>
        <w:t>Motivace, odměňování, spokojenost s prací</w:t>
      </w:r>
    </w:p>
    <w:p w:rsidR="00367411" w:rsidRPr="00367411" w:rsidRDefault="00367411" w:rsidP="00367411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367411">
        <w:rPr>
          <w:sz w:val="24"/>
          <w:szCs w:val="24"/>
        </w:rPr>
        <w:t>Horizontální vztahy, pracovní skupiny</w:t>
      </w:r>
    </w:p>
    <w:p w:rsidR="00367411" w:rsidRPr="00367411" w:rsidRDefault="00367411" w:rsidP="00367411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367411">
        <w:rPr>
          <w:sz w:val="24"/>
          <w:szCs w:val="24"/>
        </w:rPr>
        <w:t>Vertikální vztahy, organizace práce a řízení</w:t>
      </w:r>
    </w:p>
    <w:p w:rsidR="00367411" w:rsidRPr="00367411" w:rsidRDefault="00367411" w:rsidP="00367411">
      <w:pPr>
        <w:pStyle w:val="Nadpis2"/>
        <w:numPr>
          <w:ilvl w:val="0"/>
          <w:numId w:val="1"/>
        </w:numPr>
        <w:rPr>
          <w:sz w:val="24"/>
          <w:szCs w:val="24"/>
        </w:rPr>
      </w:pPr>
      <w:r w:rsidRPr="00367411">
        <w:rPr>
          <w:sz w:val="24"/>
          <w:szCs w:val="24"/>
        </w:rPr>
        <w:t>Participace pracovníků, komunikace</w:t>
      </w:r>
    </w:p>
    <w:p w:rsidR="00340FE9" w:rsidRPr="00367411" w:rsidRDefault="00340FE9"/>
    <w:sectPr w:rsidR="00340FE9" w:rsidRPr="00367411" w:rsidSect="0036741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074E0"/>
    <w:lvl w:ilvl="0">
      <w:numFmt w:val="decimal"/>
      <w:lvlText w:val="*"/>
      <w:lvlJc w:val="left"/>
    </w:lvl>
  </w:abstractNum>
  <w:abstractNum w:abstractNumId="1">
    <w:nsid w:val="04636EBA"/>
    <w:multiLevelType w:val="hybridMultilevel"/>
    <w:tmpl w:val="5EAA0348"/>
    <w:lvl w:ilvl="0" w:tplc="27902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EF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2D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02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24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48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4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4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67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8E4336"/>
    <w:multiLevelType w:val="hybridMultilevel"/>
    <w:tmpl w:val="67D86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62926"/>
    <w:multiLevelType w:val="hybridMultilevel"/>
    <w:tmpl w:val="1A7EA5B0"/>
    <w:lvl w:ilvl="0" w:tplc="1E74B360">
      <w:start w:val="3"/>
      <w:numFmt w:val="decimal"/>
      <w:lvlText w:val="%1."/>
      <w:lvlJc w:val="left"/>
      <w:pPr>
        <w:ind w:left="1800" w:hanging="1440"/>
      </w:pPr>
      <w:rPr>
        <w:rFonts w:asci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02A0"/>
    <w:multiLevelType w:val="hybridMultilevel"/>
    <w:tmpl w:val="B8E01300"/>
    <w:lvl w:ilvl="0" w:tplc="2790205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67411"/>
    <w:rsid w:val="001A71F0"/>
    <w:rsid w:val="00340FE9"/>
    <w:rsid w:val="00367411"/>
    <w:rsid w:val="00472B5D"/>
    <w:rsid w:val="004B0D29"/>
    <w:rsid w:val="007723C7"/>
    <w:rsid w:val="0095367E"/>
    <w:rsid w:val="00C00319"/>
    <w:rsid w:val="00D2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411"/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7411"/>
    <w:pPr>
      <w:autoSpaceDE w:val="0"/>
      <w:autoSpaceDN w:val="0"/>
      <w:adjustRightInd w:val="0"/>
      <w:jc w:val="center"/>
      <w:outlineLvl w:val="0"/>
    </w:pPr>
    <w:rPr>
      <w:color w:val="FF0000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367411"/>
    <w:pPr>
      <w:autoSpaceDE w:val="0"/>
      <w:autoSpaceDN w:val="0"/>
      <w:adjustRightInd w:val="0"/>
      <w:ind w:left="270" w:hanging="270"/>
      <w:outlineLvl w:val="1"/>
    </w:pPr>
    <w:rPr>
      <w:color w:val="000000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7411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367411"/>
    <w:rPr>
      <w:rFonts w:eastAsia="Times New Roman" w:cs="Times New Roman"/>
      <w:color w:val="000000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4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4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3</cp:revision>
  <dcterms:created xsi:type="dcterms:W3CDTF">2020-09-26T15:24:00Z</dcterms:created>
  <dcterms:modified xsi:type="dcterms:W3CDTF">2020-09-26T15:25:00Z</dcterms:modified>
</cp:coreProperties>
</file>