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1620A" w14:textId="2C8A1306" w:rsidR="00B72C47" w:rsidRPr="006812FF" w:rsidRDefault="007E2B50" w:rsidP="006812FF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6812FF">
        <w:rPr>
          <w:rFonts w:asciiTheme="minorHAnsi" w:hAnsiTheme="minorHAnsi" w:cstheme="minorHAnsi"/>
        </w:rPr>
        <w:t>Myslím, že by postava Bedřicha skutečně mohl</w:t>
      </w:r>
      <w:r w:rsidR="0000113B" w:rsidRPr="006812FF">
        <w:rPr>
          <w:rFonts w:asciiTheme="minorHAnsi" w:hAnsiTheme="minorHAnsi" w:cstheme="minorHAnsi"/>
        </w:rPr>
        <w:t>a</w:t>
      </w:r>
      <w:r w:rsidRPr="006812FF">
        <w:rPr>
          <w:rFonts w:asciiTheme="minorHAnsi" w:hAnsiTheme="minorHAnsi" w:cstheme="minorHAnsi"/>
        </w:rPr>
        <w:t xml:space="preserve"> být odkazem k malému člověku, který se v české literatuře často objevuje. </w:t>
      </w:r>
      <w:r w:rsidR="0000113B" w:rsidRPr="006812FF">
        <w:rPr>
          <w:rFonts w:asciiTheme="minorHAnsi" w:hAnsiTheme="minorHAnsi" w:cstheme="minorHAnsi"/>
        </w:rPr>
        <w:t>Jedná se o zobrazení člověka v jeho složitosti a protikladnosti. Můžeme vidět zdánlivě absurdní situace, do nichž se Bedřich dostává. Podobné situace můžeme vidět i u jiných „malých lidí“, kteří se v nich ocitají kvůli své hlouposti nebo naivitě.</w:t>
      </w:r>
    </w:p>
    <w:p w14:paraId="5CA7931C" w14:textId="49C52E32" w:rsidR="0000113B" w:rsidRPr="006812FF" w:rsidRDefault="0000113B" w:rsidP="006812FF">
      <w:pPr>
        <w:jc w:val="both"/>
        <w:rPr>
          <w:rFonts w:asciiTheme="minorHAnsi" w:hAnsiTheme="minorHAnsi" w:cstheme="minorHAnsi"/>
        </w:rPr>
      </w:pPr>
      <w:r w:rsidRPr="006812FF">
        <w:rPr>
          <w:rFonts w:asciiTheme="minorHAnsi" w:hAnsiTheme="minorHAnsi" w:cstheme="minorHAnsi"/>
        </w:rPr>
        <w:t xml:space="preserve">Takové postavy „malých lidí“ můžeme spatřit například u Karla Poláčka, jemuž dokonce věnuje svou </w:t>
      </w:r>
      <w:r w:rsidR="006812FF" w:rsidRPr="006812FF">
        <w:rPr>
          <w:rFonts w:asciiTheme="minorHAnsi" w:hAnsiTheme="minorHAnsi" w:cstheme="minorHAnsi"/>
        </w:rPr>
        <w:t xml:space="preserve">srovnávací </w:t>
      </w:r>
      <w:r w:rsidRPr="006812FF">
        <w:rPr>
          <w:rFonts w:asciiTheme="minorHAnsi" w:hAnsiTheme="minorHAnsi" w:cstheme="minorHAnsi"/>
        </w:rPr>
        <w:t>studii Ala Mašková</w:t>
      </w:r>
      <w:r w:rsidRPr="006812FF">
        <w:rPr>
          <w:rStyle w:val="Znakapoznpodarou"/>
          <w:rFonts w:asciiTheme="minorHAnsi" w:hAnsiTheme="minorHAnsi" w:cstheme="minorHAnsi"/>
        </w:rPr>
        <w:footnoteReference w:id="1"/>
      </w:r>
      <w:r w:rsidR="006812FF" w:rsidRPr="006812FF">
        <w:rPr>
          <w:rFonts w:asciiTheme="minorHAnsi" w:hAnsiTheme="minorHAnsi" w:cstheme="minorHAnsi"/>
        </w:rPr>
        <w:t>. Porovnává malého člověka u Poláčka a v ruské literatuře, jíž se Poláček inspiroval. Myslím, že dále lze najít „malého člověka“ i v povídkách Bohumila Hrabala, například v Pábitelích.</w:t>
      </w:r>
    </w:p>
    <w:sectPr w:rsidR="0000113B" w:rsidRPr="0068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F8383" w14:textId="77777777" w:rsidR="00927943" w:rsidRDefault="00927943" w:rsidP="0000113B">
      <w:pPr>
        <w:spacing w:after="0" w:line="240" w:lineRule="auto"/>
      </w:pPr>
      <w:r>
        <w:separator/>
      </w:r>
    </w:p>
  </w:endnote>
  <w:endnote w:type="continuationSeparator" w:id="0">
    <w:p w14:paraId="1EC5370C" w14:textId="77777777" w:rsidR="00927943" w:rsidRDefault="00927943" w:rsidP="0000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8409C" w14:textId="77777777" w:rsidR="00927943" w:rsidRDefault="00927943" w:rsidP="0000113B">
      <w:pPr>
        <w:spacing w:after="0" w:line="240" w:lineRule="auto"/>
      </w:pPr>
      <w:r>
        <w:separator/>
      </w:r>
    </w:p>
  </w:footnote>
  <w:footnote w:type="continuationSeparator" w:id="0">
    <w:p w14:paraId="19F0BE06" w14:textId="77777777" w:rsidR="00927943" w:rsidRDefault="00927943" w:rsidP="0000113B">
      <w:pPr>
        <w:spacing w:after="0" w:line="240" w:lineRule="auto"/>
      </w:pPr>
      <w:r>
        <w:continuationSeparator/>
      </w:r>
    </w:p>
  </w:footnote>
  <w:footnote w:id="1">
    <w:p w14:paraId="3DA78C0E" w14:textId="15400AFB" w:rsidR="0000113B" w:rsidRPr="0000113B" w:rsidRDefault="0000113B">
      <w:pPr>
        <w:pStyle w:val="Textpoznpodarou"/>
      </w:pPr>
      <w:r>
        <w:rPr>
          <w:rStyle w:val="Znakapoznpodarou"/>
        </w:rPr>
        <w:footnoteRef/>
      </w:r>
      <w:r>
        <w:t xml:space="preserve"> MAŠKOVÁ, Ala: </w:t>
      </w:r>
      <w:r w:rsidRPr="0000113B">
        <w:t xml:space="preserve">„Malý člověk” v díle </w:t>
      </w:r>
      <w:proofErr w:type="spellStart"/>
      <w:r w:rsidRPr="0000113B">
        <w:t>A.P.Čechova</w:t>
      </w:r>
      <w:proofErr w:type="spellEnd"/>
      <w:r w:rsidRPr="0000113B">
        <w:t xml:space="preserve"> a </w:t>
      </w:r>
      <w:proofErr w:type="spellStart"/>
      <w:r w:rsidRPr="0000113B">
        <w:t>K.Poláčka</w:t>
      </w:r>
      <w:proofErr w:type="spellEnd"/>
      <w:r>
        <w:t xml:space="preserve">, in </w:t>
      </w:r>
      <w:r>
        <w:rPr>
          <w:i/>
          <w:iCs/>
        </w:rPr>
        <w:t xml:space="preserve">Česká literatura </w:t>
      </w:r>
      <w:r>
        <w:t xml:space="preserve">22, 1974, č. 2, s, </w:t>
      </w:r>
      <w:r w:rsidRPr="0000113B">
        <w:t>136</w:t>
      </w:r>
      <w:r>
        <w:t>–</w:t>
      </w:r>
      <w:r w:rsidRPr="0000113B">
        <w:t>144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C1"/>
    <w:rsid w:val="0000113B"/>
    <w:rsid w:val="002005CC"/>
    <w:rsid w:val="006812FF"/>
    <w:rsid w:val="007E2B50"/>
    <w:rsid w:val="00801574"/>
    <w:rsid w:val="008B06C1"/>
    <w:rsid w:val="00927943"/>
    <w:rsid w:val="00942E63"/>
    <w:rsid w:val="00B72C47"/>
    <w:rsid w:val="00BD0776"/>
    <w:rsid w:val="00B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2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11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11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11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11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11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1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EFF0-419E-47E3-B07C-04533A98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2020-05-06T08:55:00Z</dcterms:created>
  <dcterms:modified xsi:type="dcterms:W3CDTF">2020-05-06T08:55:00Z</dcterms:modified>
</cp:coreProperties>
</file>