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31D" w:rsidRPr="00566A1E" w:rsidRDefault="003A131D" w:rsidP="003A131D">
      <w:pPr>
        <w:pStyle w:val="Nadpis2"/>
        <w:jc w:val="center"/>
      </w:pPr>
      <w:bookmarkStart w:id="0" w:name="_Toc399422535"/>
      <w:r>
        <w:t xml:space="preserve">Principy pro metodické pojetí a organizaci </w:t>
      </w:r>
      <w:r>
        <w:br/>
        <w:t>katecheze a náboženského vzdělávání</w:t>
      </w:r>
      <w:bookmarkEnd w:id="0"/>
    </w:p>
    <w:p w:rsidR="003A131D" w:rsidRPr="00B50A4B" w:rsidRDefault="003A131D" w:rsidP="003A131D">
      <w:pPr>
        <w:pStyle w:val="A-cislovany-normalni"/>
        <w:numPr>
          <w:ilvl w:val="0"/>
          <w:numId w:val="0"/>
        </w:numPr>
        <w:spacing w:line="276" w:lineRule="auto"/>
      </w:pPr>
      <w:r w:rsidRPr="00566A1E">
        <w:rPr>
          <w:b/>
        </w:rPr>
        <w:t>Princip věrnosti Bohu a člověku:</w:t>
      </w:r>
      <w:r w:rsidRPr="00566A1E">
        <w:t xml:space="preserve"> </w:t>
      </w:r>
      <w:r>
        <w:rPr>
          <w:lang w:val="cs-CZ"/>
        </w:rPr>
        <w:t>odpovídá charakteru křesťanské víry jako odpovědi na Boží lásku, jejíž poznání zprostředkovává církev lidem různými formami služby slova. C</w:t>
      </w:r>
      <w:proofErr w:type="spellStart"/>
      <w:r>
        <w:t>harakter</w:t>
      </w:r>
      <w:proofErr w:type="spellEnd"/>
      <w:r>
        <w:t>, účel, obsah</w:t>
      </w:r>
      <w:r w:rsidRPr="00566A1E">
        <w:t xml:space="preserve">, </w:t>
      </w:r>
      <w:r>
        <w:t>prostředk</w:t>
      </w:r>
      <w:r>
        <w:rPr>
          <w:lang w:val="cs-CZ"/>
        </w:rPr>
        <w:t>y</w:t>
      </w:r>
      <w:r>
        <w:t xml:space="preserve"> a cí</w:t>
      </w:r>
      <w:r>
        <w:rPr>
          <w:lang w:val="cs-CZ"/>
        </w:rPr>
        <w:t>le jednotlivých programů proto musejí vždy vycházet z nedílné lásky k Bohu a k člověku. Vzhledem k Bohu jde o věrnost Božímu zjevení a prostředkům, které Bůh svému lidu dal.</w:t>
      </w:r>
      <w:r>
        <w:rPr>
          <w:rStyle w:val="Znakapoznpodarou"/>
          <w:lang w:val="cs-CZ"/>
        </w:rPr>
        <w:footnoteReference w:id="1"/>
      </w:r>
      <w:r>
        <w:rPr>
          <w:lang w:val="cs-CZ"/>
        </w:rPr>
        <w:t xml:space="preserve"> Vzhledem k účastníkům katecheze a náboženského vzdělání jde o </w:t>
      </w:r>
      <w:r>
        <w:t>vhodnou formu, která by umožnila adresátům radostné zvěsti autentické poselství velkoryse správně pochopit</w:t>
      </w:r>
      <w:r>
        <w:rPr>
          <w:lang w:val="cs-CZ"/>
        </w:rPr>
        <w:t xml:space="preserve"> a velkoryse přijmout.</w:t>
      </w:r>
      <w:r>
        <w:rPr>
          <w:rStyle w:val="Znakapoznpodarou"/>
          <w:lang w:val="cs-CZ"/>
        </w:rPr>
        <w:footnoteReference w:id="2"/>
      </w:r>
      <w:r>
        <w:rPr>
          <w:lang w:val="cs-CZ"/>
        </w:rPr>
        <w:t xml:space="preserve"> V našich podmínkách se setkáváme s rozmanitými přístupy: snahou o vyvážený přístup mezi obsahem a metodou katecheze, ale také s některými jednostrannostmi. K nim například patří: jednostranné soustředění se na překládaný obsah bez ohledu na účastníky programu; upřednostňování atraktivních metod bez ohledu na Bohem zamýšlené poselství;  kladení vysokých nároků na křesťanský život bez respektu k procesu růstu člověka ve víře nebo naopak tendence zakrývat</w:t>
      </w:r>
      <w:r>
        <w:t xml:space="preserve"> širší souvislosti a nároky</w:t>
      </w:r>
      <w:r>
        <w:rPr>
          <w:lang w:val="cs-CZ"/>
        </w:rPr>
        <w:t xml:space="preserve"> křesťanského života; nízká citlivost k obavám ze závazků a ze ztráty svobody apod. (srov. také EG, čl. 160–162)</w:t>
      </w:r>
      <w:r>
        <w:t xml:space="preserve">. </w:t>
      </w:r>
    </w:p>
    <w:p w:rsidR="003A131D" w:rsidRDefault="003A131D" w:rsidP="003A131D">
      <w:pPr>
        <w:pStyle w:val="A-cislovany-normalni"/>
        <w:numPr>
          <w:ilvl w:val="0"/>
          <w:numId w:val="0"/>
        </w:numPr>
        <w:spacing w:line="276" w:lineRule="auto"/>
        <w:rPr>
          <w:b/>
          <w:lang w:val="cs-CZ"/>
        </w:rPr>
      </w:pPr>
    </w:p>
    <w:p w:rsidR="003A131D" w:rsidRPr="007B3691" w:rsidRDefault="003A131D" w:rsidP="003A131D">
      <w:pPr>
        <w:pStyle w:val="A-cislovany-normalni"/>
        <w:numPr>
          <w:ilvl w:val="0"/>
          <w:numId w:val="0"/>
        </w:numPr>
        <w:spacing w:line="276" w:lineRule="auto"/>
      </w:pPr>
      <w:r>
        <w:rPr>
          <w:b/>
          <w:lang w:val="cs-CZ"/>
        </w:rPr>
        <w:t>Princip inkulturace evangelia:</w:t>
      </w:r>
      <w:r>
        <w:rPr>
          <w:lang w:val="cs-CZ"/>
        </w:rPr>
        <w:t xml:space="preserve"> vyplývá z výše uvedeného principu věrnosti Bohu a člověku. Kultura je od člověka neoddělitelná a určuje způsob, jakým vnímáme svět kolem nás. Je nositelkou významů, hodnot, zvyků a tradice. Ovlivňuje kvalitu a způsob prožívání víry. Katecheze a náboženské vzdělávání má proto pomoci účastníkům</w:t>
      </w:r>
      <w:r>
        <w:t xml:space="preserve"> objevit souvislosti mezi kulturou a křesťanskou vírou</w:t>
      </w:r>
      <w:r>
        <w:rPr>
          <w:lang w:val="cs-CZ"/>
        </w:rPr>
        <w:t>, poznávat, jak v ní působí Duch Svatý</w:t>
      </w:r>
      <w:r>
        <w:t xml:space="preserve">. </w:t>
      </w:r>
      <w:r w:rsidRPr="007B3691">
        <w:rPr>
          <w:lang w:val="cs-CZ"/>
        </w:rPr>
        <w:t>Zvláštní zřetel je přitom třeba věnovat jazyku hlásání evangelia a citlivosti ke způsobu myšlení, vyznávaným hodnotám a potřebě svobodného rozhodování v oblasti víry.  Cílem takové pomoci člověku je, aby se mu víra stala kulturou, protože jinak není plně přijata, celistvě pochopena a věrně prožívána</w:t>
      </w:r>
      <w:r>
        <w:rPr>
          <w:rStyle w:val="Znakapoznpodarou"/>
          <w:lang w:val="cs-CZ"/>
        </w:rPr>
        <w:footnoteReference w:id="3"/>
      </w:r>
      <w:r w:rsidRPr="007B3691">
        <w:rPr>
          <w:lang w:val="cs-CZ"/>
        </w:rPr>
        <w:t xml:space="preserve">. </w:t>
      </w:r>
      <w:r>
        <w:rPr>
          <w:lang w:val="cs-CZ"/>
        </w:rPr>
        <w:t xml:space="preserve">V našich podmínkách to znamená podporu vzniku a růstu malých společenství, a to i vícegeneračních a mezigeneračních, kterým bude nabídnuta i katecheze a náboženské vzdělávání. </w:t>
      </w:r>
    </w:p>
    <w:p w:rsidR="003A131D" w:rsidRDefault="003A131D" w:rsidP="003A131D">
      <w:pPr>
        <w:pStyle w:val="A-cislovany-normalni"/>
        <w:numPr>
          <w:ilvl w:val="0"/>
          <w:numId w:val="0"/>
        </w:numPr>
        <w:spacing w:line="276" w:lineRule="auto"/>
        <w:rPr>
          <w:b/>
          <w:lang w:val="cs-CZ"/>
        </w:rPr>
      </w:pPr>
    </w:p>
    <w:p w:rsidR="003A131D" w:rsidRPr="007B3691" w:rsidRDefault="003A131D" w:rsidP="003A131D">
      <w:pPr>
        <w:pStyle w:val="A-cislovany-normalni"/>
        <w:numPr>
          <w:ilvl w:val="0"/>
          <w:numId w:val="0"/>
        </w:numPr>
        <w:spacing w:line="276" w:lineRule="auto"/>
      </w:pPr>
      <w:r w:rsidRPr="007B3691">
        <w:rPr>
          <w:b/>
          <w:lang w:val="cs-CZ"/>
        </w:rPr>
        <w:t>Kérygma</w:t>
      </w:r>
      <w:r w:rsidRPr="007B3691">
        <w:rPr>
          <w:lang w:val="cs-CZ"/>
        </w:rPr>
        <w:t xml:space="preserve"> má být v centru evangelizační činnosti a každé snahy o církevní obnovu. Je první ve smyslu kvalitativním, p</w:t>
      </w:r>
      <w:r>
        <w:rPr>
          <w:lang w:val="cs-CZ"/>
        </w:rPr>
        <w:t>rotože je to zvěst principiální. V</w:t>
      </w:r>
      <w:r w:rsidRPr="007B3691">
        <w:rPr>
          <w:lang w:val="cs-CZ"/>
        </w:rPr>
        <w:t xml:space="preserve">e všech etapách a momentech katecheze se jí má stále znovu naslouchat a různými způsoby ji hlásat. Veškerá křesťanská formace je především prohlubováním kérygmatu, které umožňuje správně chápat význam jakéhokoliv tématu, které je předmětem katecheze.  Je nutné, aby hlásání vyjadřovalo spásonosnou Boží lásku, jež předchází morálním či náboženským závazkům, aby nevnucovalo pravdu a apelovalo na svobodu, aby bylo nositelem radosti, povzbuzení, vitality a aby mělo </w:t>
      </w:r>
      <w:r w:rsidRPr="007B3691">
        <w:rPr>
          <w:lang w:val="cs-CZ"/>
        </w:rPr>
        <w:lastRenderedPageBreak/>
        <w:t xml:space="preserve">harmonickou úplnost (srov. EG, čl. </w:t>
      </w:r>
      <w:r>
        <w:rPr>
          <w:lang w:val="cs-CZ"/>
        </w:rPr>
        <w:t xml:space="preserve">110, </w:t>
      </w:r>
      <w:r w:rsidRPr="007B3691">
        <w:rPr>
          <w:lang w:val="cs-CZ"/>
        </w:rPr>
        <w:t xml:space="preserve">164–166). V našich </w:t>
      </w:r>
      <w:r>
        <w:rPr>
          <w:lang w:val="cs-CZ"/>
        </w:rPr>
        <w:t>podmínkách</w:t>
      </w:r>
      <w:r w:rsidRPr="007B3691">
        <w:rPr>
          <w:lang w:val="cs-CZ"/>
        </w:rPr>
        <w:t xml:space="preserve"> je třeba tento princip zohlednit zejména v iniciační katechezi a při službě dětem, aby v úsilí o morální formaci dětí nebyla </w:t>
      </w:r>
      <w:r>
        <w:rPr>
          <w:lang w:val="cs-CZ"/>
        </w:rPr>
        <w:t>podceněna</w:t>
      </w:r>
      <w:r w:rsidRPr="007B3691">
        <w:rPr>
          <w:lang w:val="cs-CZ"/>
        </w:rPr>
        <w:t xml:space="preserve"> etapa poznání Boží lásky a iniciativy.</w:t>
      </w:r>
      <w:r w:rsidRPr="007B3691">
        <w:rPr>
          <w:highlight w:val="cyan"/>
          <w:lang w:val="cs-CZ"/>
        </w:rPr>
        <w:t xml:space="preserve"> </w:t>
      </w:r>
    </w:p>
    <w:p w:rsidR="003A131D" w:rsidRDefault="003A131D" w:rsidP="003A131D">
      <w:pPr>
        <w:pStyle w:val="A-cislovany-normalni"/>
        <w:numPr>
          <w:ilvl w:val="0"/>
          <w:numId w:val="0"/>
        </w:numPr>
        <w:spacing w:line="276" w:lineRule="auto"/>
        <w:rPr>
          <w:b/>
          <w:lang w:val="cs-CZ"/>
        </w:rPr>
      </w:pPr>
    </w:p>
    <w:p w:rsidR="003A131D" w:rsidRPr="0061567F" w:rsidRDefault="003A131D" w:rsidP="003A131D">
      <w:pPr>
        <w:pStyle w:val="A-cislovany-normalni"/>
        <w:numPr>
          <w:ilvl w:val="0"/>
          <w:numId w:val="0"/>
        </w:numPr>
        <w:spacing w:line="276" w:lineRule="auto"/>
      </w:pPr>
      <w:r w:rsidRPr="00C664C1">
        <w:rPr>
          <w:b/>
          <w:lang w:val="cs-CZ"/>
        </w:rPr>
        <w:t>Mystagogická iniciace</w:t>
      </w:r>
      <w:r w:rsidRPr="00C664C1">
        <w:rPr>
          <w:lang w:val="cs-CZ"/>
        </w:rPr>
        <w:t xml:space="preserve"> označuje nezbytnou postupnost formativní zkušenosti, do níž zasahuje celé společenství, a nové docenění liturgických znamení křesťanské iniciace (srov. EG, čl. 166). V českých a moravských diecézích to znamená jednak věnovat větší úsilí obnově katechumenátu se všemi jeho etapami včetně mystagogické a katechumenátního modelu katecheze v tzv. přípravách k biřmování a prvnímu svatému přijímání (podrobněji viz část </w:t>
      </w:r>
      <w:proofErr w:type="gramStart"/>
      <w:r w:rsidRPr="00C664C1">
        <w:rPr>
          <w:lang w:val="cs-CZ"/>
        </w:rPr>
        <w:t>III.2)</w:t>
      </w:r>
      <w:r>
        <w:rPr>
          <w:lang w:val="cs-CZ"/>
        </w:rPr>
        <w:t xml:space="preserve">, a </w:t>
      </w:r>
      <w:r w:rsidRPr="00C664C1">
        <w:rPr>
          <w:lang w:val="cs-CZ"/>
        </w:rPr>
        <w:t>jednak</w:t>
      </w:r>
      <w:proofErr w:type="gramEnd"/>
      <w:r w:rsidRPr="00C664C1">
        <w:rPr>
          <w:lang w:val="cs-CZ"/>
        </w:rPr>
        <w:t xml:space="preserve"> podporovat vědomí vzájemné spoluzodpovědnosti všech členů farního či jiného místního křesťanského společenství za život z víry (viz také </w:t>
      </w:r>
      <w:r w:rsidRPr="005E206E">
        <w:rPr>
          <w:lang w:val="cs-CZ"/>
        </w:rPr>
        <w:t>čl. 30</w:t>
      </w:r>
      <w:r w:rsidRPr="00C664C1">
        <w:rPr>
          <w:lang w:val="cs-CZ"/>
        </w:rPr>
        <w:t xml:space="preserve">). </w:t>
      </w:r>
    </w:p>
    <w:p w:rsidR="003A131D" w:rsidRDefault="003A131D" w:rsidP="003A131D">
      <w:pPr>
        <w:pStyle w:val="A-cislovany-normalni"/>
        <w:numPr>
          <w:ilvl w:val="0"/>
          <w:numId w:val="0"/>
        </w:numPr>
        <w:spacing w:line="276" w:lineRule="auto"/>
        <w:rPr>
          <w:b/>
          <w:lang w:val="cs-CZ"/>
        </w:rPr>
      </w:pPr>
    </w:p>
    <w:p w:rsidR="003A131D" w:rsidRPr="00D777FE" w:rsidRDefault="003A131D" w:rsidP="003A131D">
      <w:pPr>
        <w:pStyle w:val="A-cislovany-normalni"/>
        <w:numPr>
          <w:ilvl w:val="0"/>
          <w:numId w:val="0"/>
        </w:numPr>
        <w:spacing w:line="276" w:lineRule="auto"/>
      </w:pPr>
      <w:r>
        <w:rPr>
          <w:b/>
          <w:lang w:val="cs-CZ"/>
        </w:rPr>
        <w:t xml:space="preserve">Cesta krásy </w:t>
      </w:r>
      <w:r>
        <w:rPr>
          <w:lang w:val="cs-CZ"/>
        </w:rPr>
        <w:t>vychází z nerozlučného pouta mezi pravdou, dobrem a krásou</w:t>
      </w:r>
      <w:r>
        <w:rPr>
          <w:b/>
          <w:lang w:val="cs-CZ"/>
        </w:rPr>
        <w:t xml:space="preserve">, </w:t>
      </w:r>
      <w:r>
        <w:rPr>
          <w:lang w:val="cs-CZ"/>
        </w:rPr>
        <w:t xml:space="preserve">jež umožňuje dospět k lidskému srdci a „dát v něm zazářit pravdě a dobrotě Vzkříšeného“. </w:t>
      </w:r>
      <w:r w:rsidRPr="00D777FE">
        <w:rPr>
          <w:lang w:val="cs-CZ"/>
        </w:rPr>
        <w:t>V náboženském vzdělávání a katechezi to znamená obnovovat úctu ke kráse podporou využívání umění a čerpat přitom jak z bohatství minulosti, tak také z jeho rozmanitých současných výrazů, které jsou „novou řečí podobenství“.  (Srov. EG, čl. 167).</w:t>
      </w:r>
    </w:p>
    <w:p w:rsidR="003A131D" w:rsidRDefault="003A131D" w:rsidP="003A131D">
      <w:pPr>
        <w:spacing w:line="276" w:lineRule="auto"/>
        <w:rPr>
          <w:b/>
        </w:rPr>
      </w:pPr>
    </w:p>
    <w:p w:rsidR="00480961" w:rsidRDefault="003A131D" w:rsidP="003A131D">
      <w:pPr>
        <w:spacing w:line="276" w:lineRule="auto"/>
      </w:pPr>
      <w:r w:rsidRPr="003E6F6E">
        <w:rPr>
          <w:b/>
        </w:rPr>
        <w:t>Sociální rozměr evangelizace</w:t>
      </w:r>
      <w:r w:rsidRPr="003E6F6E">
        <w:t xml:space="preserve"> je nezbytnou složkou každé evangelizační činnosti, neboť obsah a poselství evangelia nelze oddělit od společenství a péče o druhé.</w:t>
      </w:r>
      <w:r w:rsidRPr="003E6F6E">
        <w:rPr>
          <w:rStyle w:val="Znakapoznpodarou"/>
        </w:rPr>
        <w:footnoteReference w:id="4"/>
      </w:r>
      <w:r w:rsidRPr="003E6F6E">
        <w:t xml:space="preserve"> Ty jsou obsaženy v samotném jádru evangelia – kérygmatu. V katechezi a náboženském vzdělávání musí být tento rozměr přítomný vždy, zvláště pak v poselství o Božím království, v mravní a liturgické výchově, v sociálním učení církve, porozumění dějinám církve a při výchově k misijnímu poslání. Znamená to také dospět k</w:t>
      </w:r>
      <w:r>
        <w:t> uvědomění si</w:t>
      </w:r>
      <w:r w:rsidRPr="003E6F6E">
        <w:t xml:space="preserve">, že přítomnost Boží mezi námi nás nemá vést </w:t>
      </w:r>
      <w:r>
        <w:t xml:space="preserve">ani tak </w:t>
      </w:r>
      <w:r w:rsidRPr="003E6F6E">
        <w:t xml:space="preserve">k drobným osobním gestům vůči jednotlivým potřebným, ale </w:t>
      </w:r>
      <w:r>
        <w:t xml:space="preserve">mnohem více </w:t>
      </w:r>
      <w:r w:rsidRPr="003E6F6E">
        <w:t xml:space="preserve">k tomu, aby mezi námi rostlo bratrství, spravedlnost, pokoj a vědomí důstojnosti všech lidí (srov. EG, čl. 180). Ze sociálního rozměru evangelizace vyplývá též požadavek sociálního rozměru (vztahového začleňování do společenství církve) a důsledný respekt k požadavku </w:t>
      </w:r>
      <w:r>
        <w:t>více</w:t>
      </w:r>
      <w:r w:rsidRPr="003E6F6E">
        <w:t>generačního a mezi-generačního rozměru každé katecheze a náboženského vzdělávání.</w:t>
      </w:r>
    </w:p>
    <w:p w:rsidR="003A131D" w:rsidRDefault="003A131D" w:rsidP="003A131D">
      <w:pPr>
        <w:spacing w:line="276" w:lineRule="auto"/>
      </w:pPr>
    </w:p>
    <w:p w:rsidR="003A131D" w:rsidRDefault="003A131D" w:rsidP="003A131D">
      <w:pPr>
        <w:spacing w:line="276" w:lineRule="auto"/>
      </w:pPr>
    </w:p>
    <w:p w:rsidR="003A131D" w:rsidRPr="008B241E" w:rsidRDefault="008B241E" w:rsidP="008B241E">
      <w:pPr>
        <w:spacing w:line="276" w:lineRule="auto"/>
        <w:rPr>
          <w:i/>
        </w:rPr>
      </w:pPr>
      <w:r>
        <w:rPr>
          <w:i/>
        </w:rPr>
        <w:t xml:space="preserve">Viz Dokument o směřování katecheze a náboženského vzdělávání v České republice, 2015. </w:t>
      </w:r>
      <w:bookmarkStart w:id="1" w:name="_GoBack"/>
      <w:bookmarkEnd w:id="1"/>
    </w:p>
    <w:sectPr w:rsidR="003A131D" w:rsidRPr="008B24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B4" w:rsidRDefault="007776B4" w:rsidP="003A131D">
      <w:pPr>
        <w:spacing w:before="0" w:line="240" w:lineRule="auto"/>
      </w:pPr>
      <w:r>
        <w:separator/>
      </w:r>
    </w:p>
  </w:endnote>
  <w:endnote w:type="continuationSeparator" w:id="0">
    <w:p w:rsidR="007776B4" w:rsidRDefault="007776B4" w:rsidP="003A13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B4" w:rsidRDefault="007776B4" w:rsidP="003A131D">
      <w:pPr>
        <w:spacing w:before="0" w:line="240" w:lineRule="auto"/>
      </w:pPr>
      <w:r>
        <w:separator/>
      </w:r>
    </w:p>
  </w:footnote>
  <w:footnote w:type="continuationSeparator" w:id="0">
    <w:p w:rsidR="007776B4" w:rsidRDefault="007776B4" w:rsidP="003A131D">
      <w:pPr>
        <w:spacing w:before="0" w:line="240" w:lineRule="auto"/>
      </w:pPr>
      <w:r>
        <w:continuationSeparator/>
      </w:r>
    </w:p>
  </w:footnote>
  <w:footnote w:id="1">
    <w:p w:rsidR="003A131D" w:rsidRPr="002443E6" w:rsidRDefault="003A131D" w:rsidP="003A131D">
      <w:pPr>
        <w:pStyle w:val="Textpoznpodarou"/>
        <w:rPr>
          <w:lang w:val="cs-CZ"/>
        </w:rPr>
      </w:pPr>
      <w:r>
        <w:rPr>
          <w:rStyle w:val="Znakapoznpodarou"/>
        </w:rPr>
        <w:footnoteRef/>
      </w:r>
      <w:r>
        <w:t xml:space="preserve"> </w:t>
      </w:r>
      <w:r>
        <w:rPr>
          <w:lang w:val="cs-CZ"/>
        </w:rPr>
        <w:t xml:space="preserve">Srov. např. VDK, čl. 70. </w:t>
      </w:r>
    </w:p>
  </w:footnote>
  <w:footnote w:id="2">
    <w:p w:rsidR="003A131D" w:rsidRPr="00443432" w:rsidRDefault="003A131D" w:rsidP="003A131D">
      <w:pPr>
        <w:pStyle w:val="Textpoznpodarou"/>
        <w:rPr>
          <w:lang w:val="cs-CZ"/>
        </w:rPr>
      </w:pPr>
      <w:r>
        <w:rPr>
          <w:rStyle w:val="Znakapoznpodarou"/>
        </w:rPr>
        <w:footnoteRef/>
      </w:r>
      <w:r>
        <w:t xml:space="preserve"> </w:t>
      </w:r>
      <w:r>
        <w:rPr>
          <w:lang w:val="cs-CZ"/>
        </w:rPr>
        <w:t xml:space="preserve">S věrností člověku úzce souvisí obsah celé třetí části VDK nazvaný „Pedagogika víry“, zvláště pak její první kapitola (čl. 137–147). </w:t>
      </w:r>
    </w:p>
  </w:footnote>
  <w:footnote w:id="3">
    <w:p w:rsidR="003A131D" w:rsidRPr="0061567F" w:rsidRDefault="003A131D" w:rsidP="003A131D">
      <w:pPr>
        <w:pStyle w:val="Textpoznpodarou"/>
      </w:pPr>
      <w:r>
        <w:rPr>
          <w:rStyle w:val="Znakapoznpodarou"/>
        </w:rPr>
        <w:footnoteRef/>
      </w:r>
      <w:r>
        <w:t xml:space="preserve"> </w:t>
      </w:r>
      <w:r>
        <w:rPr>
          <w:lang w:val="cs-CZ"/>
        </w:rPr>
        <w:t>S</w:t>
      </w:r>
      <w:r w:rsidRPr="007B3691">
        <w:rPr>
          <w:lang w:val="cs-CZ"/>
        </w:rPr>
        <w:t xml:space="preserve">rov. </w:t>
      </w:r>
      <w:proofErr w:type="spellStart"/>
      <w:r w:rsidRPr="007B3691">
        <w:rPr>
          <w:i/>
        </w:rPr>
        <w:t>Pastores</w:t>
      </w:r>
      <w:proofErr w:type="spellEnd"/>
      <w:r w:rsidRPr="007B3691">
        <w:rPr>
          <w:i/>
        </w:rPr>
        <w:t xml:space="preserve"> </w:t>
      </w:r>
      <w:proofErr w:type="spellStart"/>
      <w:r w:rsidRPr="007B3691">
        <w:rPr>
          <w:i/>
        </w:rPr>
        <w:t>Gregis</w:t>
      </w:r>
      <w:proofErr w:type="spellEnd"/>
      <w:r w:rsidRPr="007B3691">
        <w:rPr>
          <w:i/>
        </w:rPr>
        <w:t>,</w:t>
      </w:r>
      <w:r w:rsidRPr="007B3691">
        <w:rPr>
          <w:i/>
          <w:lang w:val="cs-CZ"/>
        </w:rPr>
        <w:t xml:space="preserve"> </w:t>
      </w:r>
      <w:r w:rsidRPr="007B3691">
        <w:t>čl. 30</w:t>
      </w:r>
      <w:r w:rsidRPr="007B3691">
        <w:rPr>
          <w:lang w:val="cs-CZ"/>
        </w:rPr>
        <w:t xml:space="preserve">; podobně </w:t>
      </w:r>
      <w:r>
        <w:t xml:space="preserve">VDK, čl. 109 a 205; </w:t>
      </w:r>
      <w:r w:rsidRPr="00B91C4E">
        <w:rPr>
          <w:szCs w:val="20"/>
          <w:lang w:val="cs-CZ"/>
        </w:rPr>
        <w:t>EG, čl. 68-75</w:t>
      </w:r>
      <w:r>
        <w:rPr>
          <w:szCs w:val="20"/>
          <w:lang w:val="cs-CZ"/>
        </w:rPr>
        <w:t>.</w:t>
      </w:r>
    </w:p>
  </w:footnote>
  <w:footnote w:id="4">
    <w:p w:rsidR="003A131D" w:rsidRPr="007C0018" w:rsidRDefault="003A131D" w:rsidP="003A131D">
      <w:pPr>
        <w:pStyle w:val="Textpoznpodarou"/>
        <w:rPr>
          <w:i/>
          <w:lang w:val="cs-CZ"/>
        </w:rPr>
      </w:pPr>
      <w:r>
        <w:rPr>
          <w:rStyle w:val="Znakapoznpodarou"/>
        </w:rPr>
        <w:footnoteRef/>
      </w:r>
      <w:r>
        <w:t xml:space="preserve"> </w:t>
      </w:r>
      <w:r>
        <w:rPr>
          <w:lang w:val="cs-CZ"/>
        </w:rPr>
        <w:t xml:space="preserve">Sociálnímu rozměru evangelizace je věnována celá čtvrtá kapitola dokumentu </w:t>
      </w:r>
      <w:r>
        <w:rPr>
          <w:i/>
          <w:lang w:val="cs-CZ"/>
        </w:rPr>
        <w:t xml:space="preserve">Evangelii gaudium.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95B"/>
    <w:multiLevelType w:val="hybridMultilevel"/>
    <w:tmpl w:val="DB8E75C0"/>
    <w:lvl w:ilvl="0" w:tplc="C2BC27A2">
      <w:start w:val="1"/>
      <w:numFmt w:val="decimal"/>
      <w:pStyle w:val="A-cislovany-normalni"/>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1D"/>
    <w:rsid w:val="003A131D"/>
    <w:rsid w:val="00480961"/>
    <w:rsid w:val="007776B4"/>
    <w:rsid w:val="008B241E"/>
    <w:rsid w:val="00981FD7"/>
    <w:rsid w:val="00E16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D72D"/>
  <w15:docId w15:val="{B05CAC64-7134-40CE-9DA7-F5A2EF93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31D"/>
    <w:pPr>
      <w:spacing w:before="120" w:after="0" w:line="360" w:lineRule="auto"/>
      <w:jc w:val="both"/>
    </w:pPr>
    <w:rPr>
      <w:rFonts w:ascii="Calibri" w:eastAsia="MS Mincho" w:hAnsi="Calibri" w:cs="Calibri"/>
      <w:sz w:val="24"/>
      <w:szCs w:val="24"/>
      <w:lang w:eastAsia="ja-JP"/>
    </w:rPr>
  </w:style>
  <w:style w:type="paragraph" w:styleId="Nadpis2">
    <w:name w:val="heading 2"/>
    <w:basedOn w:val="Normln"/>
    <w:next w:val="Normln"/>
    <w:link w:val="Nadpis2Char"/>
    <w:uiPriority w:val="9"/>
    <w:unhideWhenUsed/>
    <w:qFormat/>
    <w:rsid w:val="003A13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3A131D"/>
    <w:pPr>
      <w:keepNext/>
      <w:spacing w:before="240" w:after="6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A131D"/>
    <w:rPr>
      <w:rFonts w:ascii="Calibri" w:eastAsia="MS Mincho" w:hAnsi="Calibri" w:cs="Calibri"/>
      <w:b/>
      <w:bCs/>
      <w:sz w:val="24"/>
      <w:szCs w:val="24"/>
      <w:lang w:eastAsia="ja-JP"/>
    </w:rPr>
  </w:style>
  <w:style w:type="paragraph" w:styleId="Textpoznpodarou">
    <w:name w:val="footnote text"/>
    <w:basedOn w:val="Normln"/>
    <w:link w:val="TextpoznpodarouChar"/>
    <w:semiHidden/>
    <w:qFormat/>
    <w:rsid w:val="003A131D"/>
    <w:pPr>
      <w:spacing w:before="0" w:line="240" w:lineRule="auto"/>
    </w:pPr>
    <w:rPr>
      <w:sz w:val="20"/>
      <w:lang w:val="x-none"/>
    </w:rPr>
  </w:style>
  <w:style w:type="character" w:customStyle="1" w:styleId="TextpoznpodarouChar">
    <w:name w:val="Text pozn. pod čarou Char"/>
    <w:basedOn w:val="Standardnpsmoodstavce"/>
    <w:link w:val="Textpoznpodarou"/>
    <w:semiHidden/>
    <w:rsid w:val="003A131D"/>
    <w:rPr>
      <w:rFonts w:ascii="Calibri" w:eastAsia="MS Mincho" w:hAnsi="Calibri" w:cs="Calibri"/>
      <w:sz w:val="20"/>
      <w:szCs w:val="24"/>
      <w:lang w:val="x-none" w:eastAsia="ja-JP"/>
    </w:rPr>
  </w:style>
  <w:style w:type="character" w:styleId="Znakapoznpodarou">
    <w:name w:val="footnote reference"/>
    <w:semiHidden/>
    <w:rsid w:val="003A131D"/>
    <w:rPr>
      <w:rFonts w:cs="Times New Roman"/>
      <w:vertAlign w:val="superscript"/>
    </w:rPr>
  </w:style>
  <w:style w:type="paragraph" w:customStyle="1" w:styleId="A-cislovany-normalni">
    <w:name w:val="A-cislovany-normalni"/>
    <w:basedOn w:val="Normln"/>
    <w:link w:val="A-cislovany-normalniChar"/>
    <w:rsid w:val="003A131D"/>
    <w:pPr>
      <w:numPr>
        <w:numId w:val="1"/>
      </w:numPr>
      <w:contextualSpacing/>
    </w:pPr>
    <w:rPr>
      <w:lang w:val="x-none"/>
    </w:rPr>
  </w:style>
  <w:style w:type="character" w:customStyle="1" w:styleId="A-cislovany-normalniChar">
    <w:name w:val="A-cislovany-normalni Char"/>
    <w:basedOn w:val="Standardnpsmoodstavce"/>
    <w:link w:val="A-cislovany-normalni"/>
    <w:rsid w:val="003A131D"/>
    <w:rPr>
      <w:rFonts w:ascii="Calibri" w:eastAsia="MS Mincho" w:hAnsi="Calibri" w:cs="Calibri"/>
      <w:sz w:val="24"/>
      <w:szCs w:val="24"/>
      <w:lang w:val="x-none" w:eastAsia="ja-JP"/>
    </w:rPr>
  </w:style>
  <w:style w:type="character" w:customStyle="1" w:styleId="Nadpis2Char">
    <w:name w:val="Nadpis 2 Char"/>
    <w:basedOn w:val="Standardnpsmoodstavce"/>
    <w:link w:val="Nadpis2"/>
    <w:uiPriority w:val="9"/>
    <w:rsid w:val="003A131D"/>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4345</Characters>
  <Application>Microsoft Office Word</Application>
  <DocSecurity>0</DocSecurity>
  <Lines>36</Lines>
  <Paragraphs>10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Principy pro metodické pojetí a organizaci  katecheze a náboženského vzdělávání</vt:lpstr>
    </vt:vector>
  </TitlesOfParts>
  <Company>Pastorační středisko o.p.s.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Zimmermannová Marie, Th.D.</dc:creator>
  <cp:lastModifiedBy>Zimmermannová Marie</cp:lastModifiedBy>
  <cp:revision>2</cp:revision>
  <cp:lastPrinted>2014-10-05T17:26:00Z</cp:lastPrinted>
  <dcterms:created xsi:type="dcterms:W3CDTF">2018-12-22T09:05:00Z</dcterms:created>
  <dcterms:modified xsi:type="dcterms:W3CDTF">2018-12-22T09:05:00Z</dcterms:modified>
</cp:coreProperties>
</file>