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3C5" w:rsidRDefault="009F23C5" w:rsidP="009F23C5">
      <w:pPr>
        <w:rPr>
          <w:i/>
        </w:rPr>
      </w:pPr>
      <w:r>
        <w:rPr>
          <w:i/>
        </w:rPr>
        <w:t>Napomáhat poznání víry</w:t>
      </w:r>
    </w:p>
    <w:p w:rsidR="009F23C5" w:rsidRDefault="009F23C5" w:rsidP="009F23C5">
      <w:r>
        <w:t xml:space="preserve">Kdo se setkal s Kristem, přeje si co nejvíce jej poznat, jakož si rovněž přeje poznat Otcův plán, který on zjevil. Poznání obsahu víry </w:t>
      </w:r>
      <w:r>
        <w:rPr>
          <w:i/>
        </w:rPr>
        <w:t>(</w:t>
      </w:r>
      <w:proofErr w:type="spellStart"/>
      <w:r>
        <w:rPr>
          <w:i/>
        </w:rPr>
        <w:t>fides</w:t>
      </w:r>
      <w:proofErr w:type="spellEnd"/>
      <w:r>
        <w:rPr>
          <w:i/>
        </w:rPr>
        <w:t xml:space="preserve"> </w:t>
      </w:r>
      <w:proofErr w:type="spellStart"/>
      <w:r>
        <w:rPr>
          <w:i/>
        </w:rPr>
        <w:t>quae</w:t>
      </w:r>
      <w:proofErr w:type="spellEnd"/>
      <w:r>
        <w:rPr>
          <w:i/>
        </w:rPr>
        <w:t xml:space="preserve">) </w:t>
      </w:r>
      <w:r>
        <w:t xml:space="preserve">je požadováno přilnutím k víře </w:t>
      </w:r>
      <w:r>
        <w:rPr>
          <w:i/>
        </w:rPr>
        <w:t>(</w:t>
      </w:r>
      <w:proofErr w:type="spellStart"/>
      <w:r>
        <w:rPr>
          <w:i/>
        </w:rPr>
        <w:t>fides</w:t>
      </w:r>
      <w:proofErr w:type="spellEnd"/>
      <w:r>
        <w:rPr>
          <w:i/>
        </w:rPr>
        <w:t xml:space="preserve"> </w:t>
      </w:r>
      <w:proofErr w:type="spellStart"/>
      <w:r>
        <w:rPr>
          <w:i/>
        </w:rPr>
        <w:t>qua</w:t>
      </w:r>
      <w:proofErr w:type="spellEnd"/>
      <w:r>
        <w:rPr>
          <w:i/>
        </w:rPr>
        <w:t>)</w:t>
      </w:r>
      <w:r>
        <w:t>.</w:t>
      </w:r>
      <w:r>
        <w:rPr>
          <w:rStyle w:val="Znakapoznpodarou"/>
        </w:rPr>
        <w:footnoteReference w:id="1"/>
      </w:r>
      <w:r>
        <w:t xml:space="preserve"> Již na lidské rovině vede láska k určité osobě k tomu, že ji chceme stále více poznávat. Katecheze proto musí přivádět k „postupnému pochopení celé pravdy Božího plánu“,</w:t>
      </w:r>
      <w:r>
        <w:rPr>
          <w:rStyle w:val="Znakapoznpodarou"/>
        </w:rPr>
        <w:footnoteReference w:id="2"/>
      </w:r>
      <w:r>
        <w:t xml:space="preserve"> tím, že uvádí učedníky Ježíše Krista do poznání tradice a Písma, které je oním „nesmírně cenným poznáním Krista</w:t>
      </w:r>
      <w:proofErr w:type="gramStart"/>
      <w:r>
        <w:t>“(</w:t>
      </w:r>
      <w:proofErr w:type="spellStart"/>
      <w:proofErr w:type="gramEnd"/>
      <w:r>
        <w:t>Flp</w:t>
      </w:r>
      <w:proofErr w:type="spellEnd"/>
      <w:r>
        <w:t xml:space="preserve"> 3,8).</w:t>
      </w:r>
      <w:r>
        <w:rPr>
          <w:rStyle w:val="Znakapoznpodarou"/>
        </w:rPr>
        <w:footnoteReference w:id="3"/>
      </w:r>
    </w:p>
    <w:p w:rsidR="009F23C5" w:rsidRDefault="009F23C5" w:rsidP="009F23C5">
      <w:r>
        <w:t>Prohloubení v poznání víry křesťansky osvěcuje lidskou existenci, sytí život víry a zároveň také uschopňuje ke zdůvodnění víry ve světě. Uskutečnění tohoto úkolu</w:t>
      </w:r>
      <w:r>
        <w:rPr>
          <w:i/>
        </w:rPr>
        <w:t xml:space="preserve"> </w:t>
      </w:r>
      <w:r>
        <w:t>vyjadřuje</w:t>
      </w:r>
      <w:r>
        <w:rPr>
          <w:i/>
        </w:rPr>
        <w:t xml:space="preserve"> předání symbolu</w:t>
      </w:r>
      <w:r>
        <w:t xml:space="preserve">, souhrnu Písma a pravd víry </w:t>
      </w:r>
      <w:proofErr w:type="gramStart"/>
      <w:r>
        <w:t>církve,.</w:t>
      </w:r>
      <w:proofErr w:type="gramEnd"/>
    </w:p>
    <w:p w:rsidR="008C7594" w:rsidRDefault="008C7594" w:rsidP="009F23C5"/>
    <w:p w:rsidR="00BE328F" w:rsidRDefault="00BE328F" w:rsidP="009F23C5">
      <w:pPr>
        <w:rPr>
          <w:color w:val="0070C0"/>
        </w:rPr>
      </w:pPr>
      <w:r>
        <w:rPr>
          <w:color w:val="0070C0"/>
        </w:rPr>
        <w:t xml:space="preserve">Komentář </w:t>
      </w:r>
      <w:proofErr w:type="spellStart"/>
      <w:r>
        <w:rPr>
          <w:color w:val="0070C0"/>
        </w:rPr>
        <w:t>Mzim</w:t>
      </w:r>
      <w:proofErr w:type="spellEnd"/>
      <w:r>
        <w:rPr>
          <w:color w:val="0070C0"/>
        </w:rPr>
        <w:t>:</w:t>
      </w:r>
    </w:p>
    <w:p w:rsidR="00BE328F" w:rsidRDefault="00BE328F" w:rsidP="009F23C5">
      <w:pPr>
        <w:rPr>
          <w:color w:val="0070C0"/>
        </w:rPr>
      </w:pPr>
      <w:r>
        <w:rPr>
          <w:color w:val="0070C0"/>
        </w:rPr>
        <w:t xml:space="preserve">Obsah křesťanské víry lze zprostředkovat různým způsobem. Závisí to tom, v jaké etapě evangelizace se adresát/adresáti tohoto zprostředkování nacházejí, jakou mají sami zkušenost s vírou apod. V příští kapitole tohoto kurzu si představíme základní didaktické modely katecheze a s tím i základní způsoby, jak zprostředkovat obsah víry pro konkrétního jednotlivce či skupinu. OBSAH a METODA KATECHEZE se musejí vzájemně doplňovat. </w:t>
      </w:r>
    </w:p>
    <w:p w:rsidR="00BE328F" w:rsidRDefault="00BE328F" w:rsidP="009F23C5">
      <w:pPr>
        <w:rPr>
          <w:color w:val="0070C0"/>
        </w:rPr>
      </w:pPr>
      <w:r>
        <w:rPr>
          <w:color w:val="0070C0"/>
        </w:rPr>
        <w:t xml:space="preserve">Co se týká obsahu, je též důležité, aby se jednotlivé obsahy naší víry nepodávali odděleně, ale ve vzájemných souvislostech. </w:t>
      </w:r>
    </w:p>
    <w:p w:rsidR="00BE328F" w:rsidRPr="00BE328F" w:rsidRDefault="00BE328F" w:rsidP="009F23C5">
      <w:pPr>
        <w:rPr>
          <w:color w:val="0070C0"/>
        </w:rPr>
      </w:pPr>
      <w:r>
        <w:rPr>
          <w:color w:val="0070C0"/>
        </w:rPr>
        <w:t xml:space="preserve">PŘÍKLAD: Za velmi zdařilé popsání souvislostí mezi obsahy považuji program „Křesťanský slovník“, který vznikl pro první evangelizaci středoškoláků a není tedy pravou katechezí, nicméně obsahuje i katechetické prvky (na našem grafu etap je to naznačeno přerušovanou čarou od katecheze k první evangelizaci). Prohlédněte si, jak autor popsal vybraná hlavní témata a souvislosti mezi nimi tím, že jednotlivá témata prokliknete a podíváte se vždy na konec stránky na text v tmavším rámečku: </w:t>
      </w:r>
      <w:hyperlink r:id="rId7" w:history="1">
        <w:r>
          <w:rPr>
            <w:rStyle w:val="Hypertextovodkaz"/>
          </w:rPr>
          <w:t>http://vkd.bihk.cz/vyukova-cd/slovnik-krestanstvi/</w:t>
        </w:r>
      </w:hyperlink>
      <w:r>
        <w:t xml:space="preserve">  </w:t>
      </w:r>
    </w:p>
    <w:p w:rsidR="00BE328F" w:rsidRDefault="00BE328F" w:rsidP="009F23C5">
      <w:pPr>
        <w:rPr>
          <w:i/>
        </w:rPr>
      </w:pPr>
    </w:p>
    <w:p w:rsidR="009F23C5" w:rsidRDefault="009F23C5" w:rsidP="009F23C5">
      <w:pPr>
        <w:rPr>
          <w:i/>
        </w:rPr>
      </w:pPr>
      <w:r>
        <w:rPr>
          <w:i/>
        </w:rPr>
        <w:br w:type="page"/>
      </w:r>
    </w:p>
    <w:p w:rsidR="009F23C5" w:rsidRDefault="009F23C5" w:rsidP="009F23C5">
      <w:pPr>
        <w:rPr>
          <w:i/>
        </w:rPr>
      </w:pPr>
      <w:r>
        <w:rPr>
          <w:i/>
        </w:rPr>
        <w:lastRenderedPageBreak/>
        <w:t>Liturgická výchova</w:t>
      </w:r>
    </w:p>
    <w:p w:rsidR="009F23C5" w:rsidRDefault="009F23C5" w:rsidP="009F23C5">
      <w:r>
        <w:t>„Kristus je stále přítomen ve své církvi, především v liturgických úkonech“.</w:t>
      </w:r>
      <w:r>
        <w:rPr>
          <w:rStyle w:val="Znakapoznpodarou"/>
        </w:rPr>
        <w:footnoteReference w:id="4"/>
      </w:r>
      <w:r>
        <w:t xml:space="preserve"> Společenství s Ježíšem Kristem přivádí ke slavení jeho spásné přítomnosti ve svátostech, zvláště pak v eucharistii. Církev si vroucně přeje, aby všichni věřící byli přivedeni k té plné, vědomé a aktivní účasti, kterou vyžaduje podstata samotné liturgie a důstojnost jejich křestního kněžství.</w:t>
      </w:r>
      <w:r>
        <w:rPr>
          <w:rStyle w:val="Znakapoznpodarou"/>
        </w:rPr>
        <w:footnoteReference w:id="5"/>
      </w:r>
      <w:r>
        <w:t xml:space="preserve"> Katecheze proto musí nejen napomáhat k poznání významu liturgie a svátostí, ale také vychovávat učedníky Ježíše Krista „k modlitbě, k děkování, k pokání, k důvěrné prosbě, ke smyslu pro komunitu a k řeči symbolů… “,</w:t>
      </w:r>
      <w:r>
        <w:rPr>
          <w:rStyle w:val="Znakapoznpodarou"/>
        </w:rPr>
        <w:footnoteReference w:id="6"/>
      </w:r>
      <w:r>
        <w:t xml:space="preserve"> protože toto vše je nezbytné pro opravdový liturgický život.</w:t>
      </w:r>
    </w:p>
    <w:p w:rsidR="008C7594" w:rsidRDefault="008C7594" w:rsidP="009F23C5">
      <w:pPr>
        <w:rPr>
          <w:i/>
        </w:rPr>
      </w:pPr>
    </w:p>
    <w:p w:rsidR="00163FFD" w:rsidRDefault="00163FFD" w:rsidP="00163FFD">
      <w:pPr>
        <w:rPr>
          <w:color w:val="0070C0"/>
        </w:rPr>
      </w:pPr>
      <w:r>
        <w:rPr>
          <w:color w:val="0070C0"/>
        </w:rPr>
        <w:t xml:space="preserve">Komentář </w:t>
      </w:r>
      <w:proofErr w:type="spellStart"/>
      <w:r>
        <w:rPr>
          <w:color w:val="0070C0"/>
        </w:rPr>
        <w:t>Mzim</w:t>
      </w:r>
      <w:proofErr w:type="spellEnd"/>
      <w:r>
        <w:rPr>
          <w:color w:val="0070C0"/>
        </w:rPr>
        <w:t>:</w:t>
      </w:r>
    </w:p>
    <w:p w:rsidR="00163FFD" w:rsidRDefault="00163FFD" w:rsidP="00163FFD">
      <w:pPr>
        <w:rPr>
          <w:color w:val="0070C0"/>
        </w:rPr>
      </w:pPr>
      <w:r>
        <w:rPr>
          <w:color w:val="0070C0"/>
        </w:rPr>
        <w:t xml:space="preserve">Liturgická výchova má mnoho témat, které vycházejí z jednoho cíle PŘIPRAVIT VĚŘÍCÍ NA AKTIVNÍ ÚČAST PŘI SLAVENÍ SVÁTOSTÍ, zejména eucharistie. Nejde tedy o vyučování nějakým schématům, poučkám a pravidel, ale o porozumění jednotlivým </w:t>
      </w:r>
      <w:proofErr w:type="gramStart"/>
      <w:r>
        <w:rPr>
          <w:color w:val="0070C0"/>
        </w:rPr>
        <w:t>liturgickým úkonů</w:t>
      </w:r>
      <w:proofErr w:type="gramEnd"/>
      <w:r>
        <w:rPr>
          <w:color w:val="0070C0"/>
        </w:rPr>
        <w:t xml:space="preserve"> a zároveň i celku slavení, aby se na něm člověk mohl aktivně vnitřně účastnit. Základní metodou je liturgický model katecheze, který je propojen s kérygmatickým. </w:t>
      </w:r>
    </w:p>
    <w:p w:rsidR="00163FFD" w:rsidRDefault="00F024B4" w:rsidP="00163FFD">
      <w:r>
        <w:rPr>
          <w:color w:val="0070C0"/>
        </w:rPr>
        <w:t xml:space="preserve">Liturgické výchově jsme věnovali mnoho prostoru v časopise CESTY KATECHEZE. Rozklikněte si záložku „Liturgie“ a podívejte se na přehled článků a materiálů (je třeba </w:t>
      </w:r>
      <w:proofErr w:type="spellStart"/>
      <w:r>
        <w:rPr>
          <w:color w:val="0070C0"/>
        </w:rPr>
        <w:t>rozklikat</w:t>
      </w:r>
      <w:proofErr w:type="spellEnd"/>
      <w:r>
        <w:rPr>
          <w:color w:val="0070C0"/>
        </w:rPr>
        <w:t xml:space="preserve"> i podřazené stránky v levém menu): </w:t>
      </w:r>
      <w:hyperlink r:id="rId8" w:history="1">
        <w:r>
          <w:rPr>
            <w:rStyle w:val="Hypertextovodkaz"/>
          </w:rPr>
          <w:t>http://www.cestykatecheze.cz/Liturgie</w:t>
        </w:r>
      </w:hyperlink>
    </w:p>
    <w:p w:rsidR="00F024B4" w:rsidRDefault="00F024B4" w:rsidP="00163FFD">
      <w:pPr>
        <w:rPr>
          <w:color w:val="0070C0"/>
        </w:rPr>
      </w:pPr>
      <w:r>
        <w:rPr>
          <w:color w:val="0070C0"/>
        </w:rPr>
        <w:t xml:space="preserve">Z konkrétních materiálů doporučuji prohlédnout si prezentaci „Eucharistie-svátost jednoty“ na stránce </w:t>
      </w:r>
      <w:hyperlink r:id="rId9" w:history="1">
        <w:r>
          <w:rPr>
            <w:rStyle w:val="Hypertextovodkaz"/>
          </w:rPr>
          <w:t>http://www.cestykatecheze.cz/Ke-stazeni</w:t>
        </w:r>
      </w:hyperlink>
      <w:r>
        <w:t xml:space="preserve">. </w:t>
      </w:r>
      <w:r w:rsidRPr="00F024B4">
        <w:rPr>
          <w:color w:val="0070C0"/>
        </w:rPr>
        <w:t xml:space="preserve">Najdete ji pod číslem 1103 Téma Církev: užitečné pomůcky. </w:t>
      </w:r>
    </w:p>
    <w:p w:rsidR="00294BAE" w:rsidRDefault="00294BAE" w:rsidP="009F23C5">
      <w:pPr>
        <w:rPr>
          <w:i/>
        </w:rPr>
      </w:pPr>
    </w:p>
    <w:p w:rsidR="00294BAE" w:rsidRDefault="00294BAE" w:rsidP="009F23C5">
      <w:pPr>
        <w:rPr>
          <w:i/>
        </w:rPr>
      </w:pPr>
    </w:p>
    <w:p w:rsidR="00294BAE" w:rsidRPr="00294BAE" w:rsidRDefault="00294BAE" w:rsidP="009F23C5">
      <w:pPr>
        <w:rPr>
          <w:iCs/>
          <w:color w:val="0070C0"/>
        </w:rPr>
      </w:pPr>
      <w:r w:rsidRPr="00294BAE">
        <w:rPr>
          <w:iCs/>
          <w:color w:val="0070C0"/>
        </w:rPr>
        <w:t>ROZŠÍŘENÍ PRO ZÁJEMCE:</w:t>
      </w:r>
    </w:p>
    <w:p w:rsidR="009F23C5" w:rsidRPr="00294BAE" w:rsidRDefault="00294BAE" w:rsidP="009F23C5">
      <w:pPr>
        <w:rPr>
          <w:i/>
          <w:color w:val="0070C0"/>
        </w:rPr>
      </w:pPr>
      <w:r w:rsidRPr="00294BAE">
        <w:rPr>
          <w:iCs/>
          <w:color w:val="0070C0"/>
        </w:rPr>
        <w:t>Prohlédněte si prezentaci Liturgická výchova v katechezi i s komentáři. Jde o jednu z mých přednášek na formačním dni pro katechety.</w:t>
      </w:r>
      <w:r w:rsidR="009F23C5" w:rsidRPr="00294BAE">
        <w:rPr>
          <w:i/>
          <w:color w:val="0070C0"/>
        </w:rPr>
        <w:br w:type="page"/>
      </w:r>
    </w:p>
    <w:p w:rsidR="009F23C5" w:rsidRDefault="009F23C5" w:rsidP="009F23C5">
      <w:pPr>
        <w:rPr>
          <w:i/>
        </w:rPr>
      </w:pPr>
      <w:r>
        <w:rPr>
          <w:i/>
        </w:rPr>
        <w:lastRenderedPageBreak/>
        <w:t>Morální formace</w:t>
      </w:r>
    </w:p>
    <w:p w:rsidR="009F23C5" w:rsidRDefault="009F23C5" w:rsidP="009F23C5">
      <w:r>
        <w:t>Důsledkem obrácení se k Ježíši Kristu je začátek cesty v jeho šlépějích. Katecheze má proto předávat učedníkům postoje vlastní jejich Mistru. Ti se tak vydávají na cestu vnitřní proměny, po které, tím, že přijímají účast na velikonočním tajemství Páně, „přecházejí od starého člověka k novému člověku v Kristu“.</w:t>
      </w:r>
      <w:r>
        <w:rPr>
          <w:rStyle w:val="Znakapoznpodarou"/>
        </w:rPr>
        <w:footnoteReference w:id="7"/>
      </w:r>
      <w:r>
        <w:t xml:space="preserve"> Horské kázání, v němž Ježíš navazuje na Desatero a vtiskuje mu ducha blahoslavenství,</w:t>
      </w:r>
      <w:r>
        <w:rPr>
          <w:rStyle w:val="Znakapoznpodarou"/>
        </w:rPr>
        <w:footnoteReference w:id="8"/>
      </w:r>
      <w:r>
        <w:t xml:space="preserve"> je nepostradatelným východiskem v morální formaci, dnes tak nezbytné. Evangelizace, která „znamená též „hlásání a předkládání morálních vzorů“,</w:t>
      </w:r>
      <w:r>
        <w:rPr>
          <w:rStyle w:val="Znakapoznpodarou"/>
        </w:rPr>
        <w:footnoteReference w:id="9"/>
      </w:r>
      <w:r>
        <w:t xml:space="preserve"> vydává celou svoji oslovující sílu tehdy, jestliže ve spojení s hlásaným slovem umí nabídnout také slovo žité. Toto morální svědectví, na které katecheze připravuje, musí umět ukázat společenské důsledky evangelních požadavků.</w:t>
      </w:r>
      <w:r>
        <w:rPr>
          <w:rStyle w:val="Znakapoznpodarou"/>
        </w:rPr>
        <w:footnoteReference w:id="10"/>
      </w:r>
    </w:p>
    <w:p w:rsidR="00294BAE" w:rsidRDefault="00294BAE" w:rsidP="00294BAE">
      <w:pPr>
        <w:rPr>
          <w:color w:val="0070C0"/>
        </w:rPr>
      </w:pPr>
      <w:r>
        <w:rPr>
          <w:color w:val="0070C0"/>
        </w:rPr>
        <w:t xml:space="preserve">Komentář </w:t>
      </w:r>
      <w:proofErr w:type="spellStart"/>
      <w:r>
        <w:rPr>
          <w:color w:val="0070C0"/>
        </w:rPr>
        <w:t>Mzim</w:t>
      </w:r>
      <w:proofErr w:type="spellEnd"/>
      <w:r>
        <w:rPr>
          <w:color w:val="0070C0"/>
        </w:rPr>
        <w:t>:</w:t>
      </w:r>
    </w:p>
    <w:p w:rsidR="00294BAE" w:rsidRPr="00827061" w:rsidRDefault="00294BAE" w:rsidP="009F23C5">
      <w:pPr>
        <w:rPr>
          <w:iCs/>
          <w:color w:val="0070C0"/>
        </w:rPr>
      </w:pPr>
      <w:r w:rsidRPr="00827061">
        <w:rPr>
          <w:iCs/>
          <w:color w:val="0070C0"/>
        </w:rPr>
        <w:t>Text o morální formaci z VDK doplňuje papež Jan Pavel II. v </w:t>
      </w:r>
      <w:proofErr w:type="spellStart"/>
      <w:r w:rsidRPr="00827061">
        <w:rPr>
          <w:iCs/>
          <w:color w:val="0070C0"/>
        </w:rPr>
        <w:t>adhortaci</w:t>
      </w:r>
      <w:proofErr w:type="spellEnd"/>
      <w:r w:rsidRPr="00827061">
        <w:rPr>
          <w:iCs/>
          <w:color w:val="0070C0"/>
        </w:rPr>
        <w:t xml:space="preserve"> </w:t>
      </w:r>
      <w:proofErr w:type="spellStart"/>
      <w:r w:rsidRPr="00827061">
        <w:rPr>
          <w:iCs/>
          <w:color w:val="0070C0"/>
        </w:rPr>
        <w:t>Catechesi</w:t>
      </w:r>
      <w:proofErr w:type="spellEnd"/>
      <w:r w:rsidRPr="00827061">
        <w:rPr>
          <w:iCs/>
          <w:color w:val="0070C0"/>
        </w:rPr>
        <w:t xml:space="preserve"> </w:t>
      </w:r>
      <w:proofErr w:type="spellStart"/>
      <w:r w:rsidRPr="00827061">
        <w:rPr>
          <w:iCs/>
          <w:color w:val="0070C0"/>
        </w:rPr>
        <w:t>tradendae</w:t>
      </w:r>
      <w:proofErr w:type="spellEnd"/>
      <w:r w:rsidRPr="00827061">
        <w:rPr>
          <w:iCs/>
          <w:color w:val="0070C0"/>
        </w:rPr>
        <w:t xml:space="preserve"> následovně:</w:t>
      </w:r>
    </w:p>
    <w:p w:rsidR="00294BAE" w:rsidRPr="00294BAE" w:rsidRDefault="00294BAE" w:rsidP="00294BAE">
      <w:pPr>
        <w:ind w:left="708"/>
        <w:rPr>
          <w:i/>
          <w:iCs/>
          <w:color w:val="00B0F0"/>
        </w:rPr>
      </w:pPr>
      <w:r w:rsidRPr="00294BAE">
        <w:rPr>
          <w:i/>
          <w:iCs/>
        </w:rPr>
        <w:t>VDK spojuje morální formaci s obrácením se k Ježíši Kristu, jehož důsledkem je začátek cesty v jeho šlépějích. Katecheze má proto předávat učedníkům postoje vlastní jejich Mistru:</w:t>
      </w:r>
      <w:r w:rsidR="00C0359E">
        <w:rPr>
          <w:i/>
          <w:iCs/>
        </w:rPr>
        <w:t xml:space="preserve"> </w:t>
      </w:r>
      <w:r w:rsidRPr="00294BAE">
        <w:rPr>
          <w:i/>
          <w:iCs/>
        </w:rPr>
        <w:t>„Ti se tak vydávají na cestu vnitřní proměny, po které, tím, že přijímají účast na velikonočním tajemství Páně, „přecházejí od starého člověka k novému člověku v Kristu“ (AG 13). Horské kázání, v němž Ježíš navazuje na Desatero a vtiskuje mu ducha blahoslavenství,</w:t>
      </w:r>
      <w:r w:rsidRPr="00294BAE">
        <w:rPr>
          <w:rStyle w:val="Znakapoznpodarou"/>
          <w:i/>
          <w:iCs/>
        </w:rPr>
        <w:footnoteReference w:id="11"/>
      </w:r>
      <w:r w:rsidRPr="00294BAE">
        <w:rPr>
          <w:i/>
          <w:iCs/>
        </w:rPr>
        <w:t xml:space="preserve"> je nepostradatelným východiskem v morální formaci, dnes tak nezbytné (srov. LC 62, KKC 1965-1986, 1697). Evangelizace, která „znamená též „hlásání a předkládání morálních vzorů“ (VS 107), vydává celou svoji oslovující sílu tehdy, jestliže ve spojení s hlásaným slovem umí nabídnout také slovo žité. Toto morální svědectví, na které katecheze připravuje, musí umět ukázat společenské důsledky evangelních požadavků (srov. CT 29f).</w:t>
      </w:r>
    </w:p>
    <w:p w:rsidR="00294BAE" w:rsidRDefault="00294BAE" w:rsidP="009F23C5">
      <w:pPr>
        <w:rPr>
          <w:iCs/>
          <w:color w:val="00B0F0"/>
        </w:rPr>
      </w:pPr>
      <w:r w:rsidRPr="00827061">
        <w:rPr>
          <w:iCs/>
          <w:color w:val="0070C0"/>
        </w:rPr>
        <w:t xml:space="preserve">Morální formaci dospívajících v podmínkách současné společnosti rozebírá italský autor </w:t>
      </w:r>
      <w:proofErr w:type="spellStart"/>
      <w:r w:rsidRPr="00827061">
        <w:rPr>
          <w:iCs/>
          <w:color w:val="0070C0"/>
        </w:rPr>
        <w:t>Romio</w:t>
      </w:r>
      <w:proofErr w:type="spellEnd"/>
      <w:r w:rsidRPr="00827061">
        <w:rPr>
          <w:iCs/>
          <w:color w:val="0070C0"/>
        </w:rPr>
        <w:t xml:space="preserve"> Roberto v článku, který byl uveřejněn v Cestách katecheze: Je zde uvedena důležitá metoda s názvem HERMENEUTICKÁ EXISTENCIÁLNÍ DIDAKTIKA. Doporučuji pročíst si i příklad uvedený na konci článku. Odkaz: </w:t>
      </w:r>
      <w:hyperlink r:id="rId10" w:history="1">
        <w:r>
          <w:rPr>
            <w:rStyle w:val="Hypertextovodkaz"/>
          </w:rPr>
          <w:t>http://www.cestykatecheze.cz/casopis/2012-3/Moralni-vychova-dospivajicich-v-podminkach-soucasne-spolecnosti.html</w:t>
        </w:r>
      </w:hyperlink>
    </w:p>
    <w:p w:rsidR="00F81A7F" w:rsidRDefault="00294BAE" w:rsidP="009F23C5">
      <w:pPr>
        <w:rPr>
          <w:iCs/>
          <w:color w:val="0070C0"/>
        </w:rPr>
      </w:pPr>
      <w:r w:rsidRPr="00827061">
        <w:rPr>
          <w:iCs/>
          <w:color w:val="0070C0"/>
        </w:rPr>
        <w:t>Jinou metodou je naslouchání Písmu svatému</w:t>
      </w:r>
      <w:r w:rsidR="00F81A7F">
        <w:rPr>
          <w:iCs/>
          <w:color w:val="0070C0"/>
        </w:rPr>
        <w:t xml:space="preserve">, kde se nabízí řada témat a metod. O nich pojednává výtah z dokumentu BIBLE A MORÁLKA (viz samostatný soubor). </w:t>
      </w:r>
    </w:p>
    <w:p w:rsidR="009F23C5" w:rsidRPr="00294BAE" w:rsidRDefault="00F81A7F" w:rsidP="009F23C5">
      <w:pPr>
        <w:rPr>
          <w:iCs/>
          <w:color w:val="00B0F0"/>
        </w:rPr>
      </w:pPr>
      <w:r>
        <w:rPr>
          <w:iCs/>
          <w:color w:val="0070C0"/>
        </w:rPr>
        <w:t xml:space="preserve">Pro mladší děti je vhodné pracovat s </w:t>
      </w:r>
      <w:r w:rsidR="00294BAE" w:rsidRPr="00827061">
        <w:rPr>
          <w:iCs/>
          <w:color w:val="0070C0"/>
        </w:rPr>
        <w:t>Ježíšovým</w:t>
      </w:r>
      <w:r>
        <w:rPr>
          <w:iCs/>
          <w:color w:val="0070C0"/>
        </w:rPr>
        <w:t>i</w:t>
      </w:r>
      <w:r w:rsidR="00294BAE" w:rsidRPr="00827061">
        <w:rPr>
          <w:iCs/>
          <w:color w:val="0070C0"/>
        </w:rPr>
        <w:t xml:space="preserve"> podobenstvím</w:t>
      </w:r>
      <w:r>
        <w:rPr>
          <w:iCs/>
          <w:color w:val="0070C0"/>
        </w:rPr>
        <w:t>i</w:t>
      </w:r>
      <w:r w:rsidR="00294BAE" w:rsidRPr="00827061">
        <w:rPr>
          <w:iCs/>
          <w:color w:val="0070C0"/>
        </w:rPr>
        <w:t xml:space="preserve"> s morálním aspektem a uvažovat nad je</w:t>
      </w:r>
      <w:r>
        <w:rPr>
          <w:iCs/>
          <w:color w:val="0070C0"/>
        </w:rPr>
        <w:t>jich</w:t>
      </w:r>
      <w:r w:rsidR="00294BAE" w:rsidRPr="00827061">
        <w:rPr>
          <w:iCs/>
          <w:color w:val="0070C0"/>
        </w:rPr>
        <w:t xml:space="preserve"> poselstvím. Metoda, která se zde uplatní nejvíce, se nazývá RWCT: Čtením a psaním ke kritickému myšlení. Viz např. </w:t>
      </w:r>
      <w:hyperlink r:id="rId11" w:history="1">
        <w:r w:rsidR="00294BAE">
          <w:rPr>
            <w:rStyle w:val="Hypertextovodkaz"/>
          </w:rPr>
          <w:t>http://www.cestykatecheze.cz/casopis/2012-2/Metody-vedouci-k-rozvoji-kritickeho-mysleni.html</w:t>
        </w:r>
      </w:hyperlink>
      <w:r w:rsidR="009F23C5" w:rsidRPr="008C7594">
        <w:rPr>
          <w:i/>
          <w:color w:val="00B0F0"/>
        </w:rPr>
        <w:br w:type="page"/>
      </w:r>
    </w:p>
    <w:p w:rsidR="009F23C5" w:rsidRDefault="009F23C5" w:rsidP="009F23C5">
      <w:pPr>
        <w:rPr>
          <w:i/>
        </w:rPr>
      </w:pPr>
      <w:r>
        <w:rPr>
          <w:i/>
        </w:rPr>
        <w:lastRenderedPageBreak/>
        <w:t>Učit modlitbě</w:t>
      </w:r>
    </w:p>
    <w:p w:rsidR="009F23C5" w:rsidRDefault="009F23C5" w:rsidP="009F23C5">
      <w:r>
        <w:t>Společenství s Ježíšem Kristem přivádí učedníky k zaujetí postoje modlitby a kontemplace, jaký měl jejich Mistr. Učit se modlit s Ježíšem znamená modlit se se stejnými city, s jakými se on obracel k Otci: klanění, chvála, děkování, synovská důvěra, prosba, obdiv jeho slávy. Tyto city se odrážejí v </w:t>
      </w:r>
      <w:r>
        <w:rPr>
          <w:i/>
        </w:rPr>
        <w:t>modlitbě Páně</w:t>
      </w:r>
      <w:r>
        <w:t xml:space="preserve">, kterou Ježíš naučil učedníky a jež je vzorem každé křesťanské modlitby. </w:t>
      </w:r>
      <w:r>
        <w:rPr>
          <w:i/>
        </w:rPr>
        <w:t>„Předání modlitby Páně“</w:t>
      </w:r>
      <w:r>
        <w:t>,</w:t>
      </w:r>
      <w:r>
        <w:rPr>
          <w:rStyle w:val="Znakapoznpodarou"/>
        </w:rPr>
        <w:footnoteReference w:id="12"/>
      </w:r>
      <w:r>
        <w:t xml:space="preserve"> souhrnu celého evangelia,</w:t>
      </w:r>
      <w:r>
        <w:rPr>
          <w:rStyle w:val="Znakapoznpodarou"/>
        </w:rPr>
        <w:footnoteReference w:id="13"/>
      </w:r>
      <w:r>
        <w:t xml:space="preserve"> je proto opravdovým vyjádřením uskutečnění tohoto úkolu. Je-li katecheze proniknuta atmosférou modlitby, osvojování si celého křesťanského života dosahuje své hloubky. Tato atmosféra modlitby se stává zvláště nutnou, když katechumen a katechizovaní se ocitají před nejnáročnějšími aspekty evangelia a cítí se slabí, nebo když s překvapením objevují Boží působení ve svém životě.</w:t>
      </w:r>
    </w:p>
    <w:p w:rsidR="00827061" w:rsidRDefault="00827061" w:rsidP="00827061">
      <w:pPr>
        <w:rPr>
          <w:color w:val="0070C0"/>
        </w:rPr>
      </w:pPr>
      <w:bookmarkStart w:id="0" w:name="_Toc433449985"/>
      <w:bookmarkStart w:id="1" w:name="_Toc433722191"/>
      <w:bookmarkStart w:id="2" w:name="_Toc433450039"/>
      <w:bookmarkStart w:id="3" w:name="_Toc433450491"/>
      <w:r>
        <w:rPr>
          <w:color w:val="0070C0"/>
        </w:rPr>
        <w:t xml:space="preserve">Komentář </w:t>
      </w:r>
      <w:proofErr w:type="spellStart"/>
      <w:r>
        <w:rPr>
          <w:color w:val="0070C0"/>
        </w:rPr>
        <w:t>Mzim</w:t>
      </w:r>
      <w:proofErr w:type="spellEnd"/>
      <w:r>
        <w:rPr>
          <w:color w:val="0070C0"/>
        </w:rPr>
        <w:t>:</w:t>
      </w:r>
    </w:p>
    <w:p w:rsidR="00827061" w:rsidRDefault="00827061" w:rsidP="00827061">
      <w:pPr>
        <w:rPr>
          <w:color w:val="0070C0"/>
        </w:rPr>
      </w:pPr>
      <w:r>
        <w:rPr>
          <w:color w:val="0070C0"/>
        </w:rPr>
        <w:t xml:space="preserve">Téma výchovy k modlitbě prolíná všemi ostatními. Modlitba je odpovědí člověka na poznanou Boží lásku, a tak by měla být i v katechezi přítomna. Není vhodné ji využívat mechanicky jako prostředek k uklidnění a ztišení se, alespoň z počátku určitě ne. </w:t>
      </w:r>
    </w:p>
    <w:p w:rsidR="00827061" w:rsidRPr="00827061" w:rsidRDefault="00827061" w:rsidP="00827061">
      <w:pPr>
        <w:rPr>
          <w:color w:val="0070C0"/>
        </w:rPr>
      </w:pPr>
      <w:r>
        <w:rPr>
          <w:color w:val="0070C0"/>
        </w:rPr>
        <w:t xml:space="preserve">Bohatou studnicí a inspirací k rozvíjení modlitby je Písmo svaté a také liturgie. Doporučuji např. článek Pavla Vojtěcha Kohúta: </w:t>
      </w:r>
      <w:hyperlink r:id="rId12" w:history="1">
        <w:r>
          <w:rPr>
            <w:rStyle w:val="Hypertextovodkaz"/>
          </w:rPr>
          <w:t>http://www.cestykatecheze.cz/casopis/2010-4/Liturgie-skola-krestanske-modlitby.html</w:t>
        </w:r>
      </w:hyperlink>
    </w:p>
    <w:p w:rsidR="009F23C5" w:rsidRDefault="009F23C5" w:rsidP="009F23C5">
      <w:pPr>
        <w:pStyle w:val="Nadpis5"/>
      </w:pPr>
      <w:r>
        <w:br w:type="page"/>
      </w:r>
    </w:p>
    <w:p w:rsidR="009F23C5" w:rsidRDefault="009F23C5" w:rsidP="009F23C5">
      <w:pPr>
        <w:pStyle w:val="Nadpis5"/>
      </w:pPr>
      <w:r>
        <w:lastRenderedPageBreak/>
        <w:t>Další základní úlohy katecheze: uvedení a výchova k životu ve společenství a k misii</w:t>
      </w:r>
      <w:bookmarkEnd w:id="0"/>
      <w:bookmarkEnd w:id="1"/>
      <w:bookmarkEnd w:id="2"/>
      <w:bookmarkEnd w:id="3"/>
    </w:p>
    <w:p w:rsidR="009F23C5" w:rsidRDefault="009F23C5" w:rsidP="009F23C5">
      <w:r>
        <w:t xml:space="preserve">86. Katecheze uzpůsobuje křesťana k životu ve společenství a k aktivní účasti na životě a </w:t>
      </w:r>
    </w:p>
    <w:p w:rsidR="009F23C5" w:rsidRDefault="009F23C5" w:rsidP="009F23C5">
      <w:r>
        <w:t>poslání církve. Druhý vatikánský koncil uvádí, že je nutné, aby pastýři „probouzeli vhodným způsobem ducha společenství“</w:t>
      </w:r>
      <w:r>
        <w:rPr>
          <w:rStyle w:val="Znakapoznpodarou"/>
        </w:rPr>
        <w:footnoteReference w:id="14"/>
      </w:r>
      <w:r>
        <w:t xml:space="preserve">  a katechumeni „se učili aktivně spolupracovat na evangelizaci a budování církve“.</w:t>
      </w:r>
      <w:r>
        <w:rPr>
          <w:rStyle w:val="Znakapoznpodarou"/>
        </w:rPr>
        <w:footnoteReference w:id="15"/>
      </w:r>
    </w:p>
    <w:p w:rsidR="009F23C5" w:rsidRDefault="009F23C5" w:rsidP="009F23C5">
      <w:pPr>
        <w:rPr>
          <w:i/>
        </w:rPr>
      </w:pPr>
      <w:r>
        <w:rPr>
          <w:i/>
        </w:rPr>
        <w:t>Výchova k životu ve společenství</w:t>
      </w:r>
    </w:p>
    <w:p w:rsidR="009F23C5" w:rsidRDefault="009F23C5" w:rsidP="009F23C5">
      <w:pPr>
        <w:numPr>
          <w:ilvl w:val="0"/>
          <w:numId w:val="1"/>
        </w:numPr>
      </w:pPr>
      <w:r>
        <w:t xml:space="preserve"> Křesťanský život ve společenství nevzniká sám od sebe. Je třeba k němu pečlivě vychovávat. Ježíšovo vyučování o životě ve společenství, podané v Matoušově evangeliu, vyžaduje několik postojů, ke kterým musí katecheze napomáhat, aby došlo k osvojení si života ve společenství: duch prostoty a pokory </w:t>
      </w:r>
      <w:r>
        <w:rPr>
          <w:i/>
        </w:rPr>
        <w:t xml:space="preserve">(„Jestliže znovu nebudete jako děti… “, </w:t>
      </w:r>
      <w:proofErr w:type="spellStart"/>
      <w:r>
        <w:rPr>
          <w:i/>
        </w:rPr>
        <w:t>Mt</w:t>
      </w:r>
      <w:proofErr w:type="spellEnd"/>
      <w:r>
        <w:rPr>
          <w:i/>
        </w:rPr>
        <w:t xml:space="preserve"> 18,3)</w:t>
      </w:r>
      <w:r>
        <w:t xml:space="preserve">; starostlivost o ty nejmenší </w:t>
      </w:r>
      <w:r>
        <w:rPr>
          <w:i/>
        </w:rPr>
        <w:t xml:space="preserve">(„Kdo však svede ke hříchu jedno z těchto nepatrných … “, </w:t>
      </w:r>
      <w:proofErr w:type="spellStart"/>
      <w:r>
        <w:rPr>
          <w:i/>
        </w:rPr>
        <w:t>Mt</w:t>
      </w:r>
      <w:proofErr w:type="spellEnd"/>
      <w:r>
        <w:rPr>
          <w:i/>
        </w:rPr>
        <w:t xml:space="preserve"> 18,6)</w:t>
      </w:r>
      <w:r>
        <w:t xml:space="preserve">; zvláštní pozornost k těm, kteří se vzdálili </w:t>
      </w:r>
      <w:r>
        <w:rPr>
          <w:i/>
        </w:rPr>
        <w:t xml:space="preserve">(„jít hledat zatoulanou ovci…“, </w:t>
      </w:r>
      <w:proofErr w:type="spellStart"/>
      <w:r>
        <w:rPr>
          <w:i/>
        </w:rPr>
        <w:t>Mt</w:t>
      </w:r>
      <w:proofErr w:type="spellEnd"/>
      <w:r>
        <w:rPr>
          <w:i/>
        </w:rPr>
        <w:t xml:space="preserve"> 18,12)</w:t>
      </w:r>
      <w:r>
        <w:t xml:space="preserve">; bratrské napomenutí </w:t>
      </w:r>
      <w:r>
        <w:rPr>
          <w:i/>
        </w:rPr>
        <w:t xml:space="preserve">(„Pokárej ho mezi čtyřma očima… “, </w:t>
      </w:r>
      <w:proofErr w:type="spellStart"/>
      <w:r>
        <w:rPr>
          <w:i/>
        </w:rPr>
        <w:t>Mt</w:t>
      </w:r>
      <w:proofErr w:type="spellEnd"/>
      <w:r>
        <w:rPr>
          <w:i/>
        </w:rPr>
        <w:t xml:space="preserve"> 18,15)</w:t>
      </w:r>
      <w:r>
        <w:t xml:space="preserve">; společná modlitba </w:t>
      </w:r>
      <w:r>
        <w:rPr>
          <w:i/>
        </w:rPr>
        <w:t xml:space="preserve">(„Jestliže se shodnou na zemi dva z vás na jakékoli věci a budou o ni prosit… “, </w:t>
      </w:r>
      <w:proofErr w:type="spellStart"/>
      <w:r>
        <w:rPr>
          <w:i/>
        </w:rPr>
        <w:t>Mt</w:t>
      </w:r>
      <w:proofErr w:type="spellEnd"/>
      <w:r>
        <w:rPr>
          <w:i/>
        </w:rPr>
        <w:t xml:space="preserve"> 18,19)</w:t>
      </w:r>
      <w:r>
        <w:t xml:space="preserve">; vzájemné odpuštění </w:t>
      </w:r>
      <w:r>
        <w:rPr>
          <w:i/>
        </w:rPr>
        <w:t xml:space="preserve">(„třeba </w:t>
      </w:r>
      <w:proofErr w:type="spellStart"/>
      <w:r>
        <w:rPr>
          <w:i/>
        </w:rPr>
        <w:t>sedmdesátsedmkrát</w:t>
      </w:r>
      <w:proofErr w:type="spellEnd"/>
      <w:r>
        <w:rPr>
          <w:i/>
        </w:rPr>
        <w:t xml:space="preserve">… “, </w:t>
      </w:r>
      <w:proofErr w:type="spellStart"/>
      <w:r>
        <w:rPr>
          <w:i/>
        </w:rPr>
        <w:t>Mt</w:t>
      </w:r>
      <w:proofErr w:type="spellEnd"/>
      <w:r>
        <w:rPr>
          <w:i/>
        </w:rPr>
        <w:t xml:space="preserve"> 18,22). </w:t>
      </w:r>
      <w:r>
        <w:t xml:space="preserve">Bratrská láska sjednocuje všechny tyto postoje </w:t>
      </w:r>
      <w:r>
        <w:rPr>
          <w:i/>
        </w:rPr>
        <w:t>(„Milujte se navzájem, jak jsem já miloval vás“, Jan 13,34).</w:t>
      </w:r>
    </w:p>
    <w:p w:rsidR="009F23C5" w:rsidRDefault="009F23C5" w:rsidP="009F23C5">
      <w:pPr>
        <w:numPr>
          <w:ilvl w:val="0"/>
          <w:numId w:val="1"/>
        </w:numPr>
      </w:pPr>
      <w:r>
        <w:t>Při výchově k tomuto smyslu pro společenství bude katecheze pečovat také o ekumenický rozměr a bude povzbuzovat k bratrským postojům vůči členům jiných církví a církevních společenství. V úsilí o tento cíl proto katecheze vyloží s jasností celou nauku katolické církve a bude se přitom vyhýbat výrazům či výkladům, které by mohly přivést k omylu. Dále bude napomáhat „náležitému poznání jiných vyznání“,</w:t>
      </w:r>
      <w:r>
        <w:rPr>
          <w:rStyle w:val="Znakapoznpodarou"/>
        </w:rPr>
        <w:footnoteReference w:id="16"/>
      </w:r>
      <w:r>
        <w:t xml:space="preserve"> s nimiž sdílíme společné hodnoty, jako jsou „psané Boží slovo, život milosti, víra, naděje a láska i jiné vnitřní dary Ducha svatého“.</w:t>
      </w:r>
      <w:r>
        <w:rPr>
          <w:rStyle w:val="Znakapoznpodarou"/>
        </w:rPr>
        <w:footnoteReference w:id="17"/>
      </w:r>
      <w:r>
        <w:t xml:space="preserve"> Katecheze bude mít ekumenický rozměr do té míry, nakolik bude umět probouzet a rozvíjet „opravdovou touhu po jednotě“,</w:t>
      </w:r>
      <w:r>
        <w:rPr>
          <w:rStyle w:val="Znakapoznpodarou"/>
        </w:rPr>
        <w:footnoteReference w:id="18"/>
      </w:r>
      <w:r>
        <w:t xml:space="preserve"> chápanou s výhledem ne na laciný irénismus, ale na dokonalou jednotu, tehdy, kdy to Pán bude chtít, a skrze cesty, které on bude chtít.</w:t>
      </w:r>
    </w:p>
    <w:p w:rsidR="00E46BE4" w:rsidRDefault="00E46BE4" w:rsidP="009F23C5">
      <w:pPr>
        <w:rPr>
          <w:i/>
        </w:rPr>
      </w:pPr>
    </w:p>
    <w:p w:rsidR="009F23C5" w:rsidRDefault="00E46BE4" w:rsidP="009F23C5">
      <w:pPr>
        <w:rPr>
          <w:i/>
        </w:rPr>
      </w:pPr>
      <w:r>
        <w:rPr>
          <w:iCs/>
        </w:rPr>
        <w:t xml:space="preserve">O </w:t>
      </w:r>
      <w:proofErr w:type="gramStart"/>
      <w:r>
        <w:rPr>
          <w:iCs/>
        </w:rPr>
        <w:t>společenství  -</w:t>
      </w:r>
      <w:proofErr w:type="gramEnd"/>
      <w:r>
        <w:rPr>
          <w:iCs/>
        </w:rPr>
        <w:t xml:space="preserve"> Duch Svatý</w:t>
      </w:r>
      <w:r w:rsidR="009F23C5">
        <w:rPr>
          <w:i/>
        </w:rPr>
        <w:br w:type="page"/>
      </w:r>
    </w:p>
    <w:p w:rsidR="009F23C5" w:rsidRDefault="009F23C5" w:rsidP="009F23C5">
      <w:pPr>
        <w:rPr>
          <w:i/>
        </w:rPr>
      </w:pPr>
      <w:r>
        <w:rPr>
          <w:i/>
        </w:rPr>
        <w:lastRenderedPageBreak/>
        <w:t>Uvedení do misie</w:t>
      </w:r>
    </w:p>
    <w:p w:rsidR="009F23C5" w:rsidRDefault="009F23C5" w:rsidP="009F23C5">
      <w:r>
        <w:t>Katecheze je rovněž otevřená misijnímu dynamismu.</w:t>
      </w:r>
      <w:r>
        <w:rPr>
          <w:rStyle w:val="Znakapoznpodarou"/>
        </w:rPr>
        <w:footnoteReference w:id="19"/>
      </w:r>
      <w:r>
        <w:t xml:space="preserve"> Usiluje o to, aby Ježíšovi učedníci byli schopni být přítomni jako křesťané ve společnosti, na svých pracovištích, v kulturním a společenském životě. Připraví je také na to, aby každý podle svého povolání spolupracovali v různých službách církve. Toto evangelizační úsilí má pro laiky původ ve svátostech uvedení do křesťanského života </w:t>
      </w:r>
      <w:r>
        <w:sym w:font="Symbol" w:char="F05B"/>
      </w:r>
      <w:r>
        <w:t>iniciačních svátostech</w:t>
      </w:r>
      <w:r>
        <w:sym w:font="Symbol" w:char="F05D"/>
      </w:r>
      <w:r>
        <w:t xml:space="preserve"> a ve světském rázu jejich povolání.</w:t>
      </w:r>
      <w:r>
        <w:rPr>
          <w:rStyle w:val="Znakapoznpodarou"/>
        </w:rPr>
        <w:footnoteReference w:id="20"/>
      </w:r>
      <w:r>
        <w:t xml:space="preserve"> Je také důležité používat každý prostředek, který může vzbudit povolání ke kněžství a ke zvláštnímu zasvěcení se Bohu v různých formách řeholního a apoštolského života a rozžehnout v jednotlivých srdcích specifické misijní povolání.</w:t>
      </w:r>
    </w:p>
    <w:p w:rsidR="009F23C5" w:rsidRDefault="009F23C5" w:rsidP="009F23C5">
      <w:r>
        <w:t>Katecheze musí rozvíjet ty evangelní postoje, ke kterým vedl Ježíš své učedníky, když je uváděl do misie: jít hledat ztracenou ovci; hlásat a zároveň uzdravovat; předstupovat chudí, bez zlata či mošny; umět přijímat odmítnutí a pronásledování; vkládat svou důvěru v Otce a v podporu Ducha svatého; neočekávat jinou odměnu než radost z práce pro Království.</w:t>
      </w:r>
      <w:r>
        <w:rPr>
          <w:rStyle w:val="Znakapoznpodarou"/>
        </w:rPr>
        <w:footnoteReference w:id="21"/>
      </w:r>
    </w:p>
    <w:p w:rsidR="009F23C5" w:rsidRDefault="009F23C5" w:rsidP="009F23C5">
      <w:r>
        <w:t>Ve výchově k tomuto smyslu pro misii bude katecheze formovat k mezináboženskému dialogu, který může věřící připravit na plodnou komunikaci s příslušníky jiných náboženství.</w:t>
      </w:r>
      <w:r>
        <w:rPr>
          <w:rStyle w:val="Znakapoznpodarou"/>
        </w:rPr>
        <w:footnoteReference w:id="22"/>
      </w:r>
      <w:r>
        <w:t xml:space="preserve"> Katecheze bude ukazovat, že společné pouto mezi církví a </w:t>
      </w:r>
      <w:proofErr w:type="spellStart"/>
      <w:r>
        <w:t>mimokřesťanskými</w:t>
      </w:r>
      <w:proofErr w:type="spellEnd"/>
      <w:r>
        <w:t xml:space="preserve"> náboženstvími je dáno především společným původem a cílem lidského rodu, jakož i mnohými „semeny Slova“, která Bůh vložil do těchto náboženství. Katecheze také napomůže k umění smířit a zároveň rozlišit „hlásání Krista“ a „mezináboženský dialog“. Tyto dva prvky, které stále zůstávají v těsném vztahu, nesmějí být zaměňovány či považovány za rovnocenné.</w:t>
      </w:r>
      <w:r>
        <w:rPr>
          <w:rStyle w:val="Znakapoznpodarou"/>
        </w:rPr>
        <w:footnoteReference w:id="23"/>
      </w:r>
      <w:r>
        <w:t xml:space="preserve"> Dialog totiž „neosvobozuje od hlásání evangelia“.</w:t>
      </w:r>
      <w:r>
        <w:rPr>
          <w:rStyle w:val="Znakapoznpodarou"/>
        </w:rPr>
        <w:footnoteReference w:id="24"/>
      </w:r>
    </w:p>
    <w:p w:rsidR="009F23C5" w:rsidRDefault="009F23C5" w:rsidP="009F23C5">
      <w:pPr>
        <w:pStyle w:val="Nadpis5"/>
      </w:pPr>
      <w:bookmarkStart w:id="4" w:name="_Toc433449986"/>
      <w:bookmarkStart w:id="5" w:name="_Toc433722192"/>
      <w:bookmarkStart w:id="6" w:name="_Toc433450040"/>
      <w:bookmarkStart w:id="7" w:name="_Toc433450492"/>
      <w:r>
        <w:br w:type="page"/>
      </w:r>
    </w:p>
    <w:p w:rsidR="009F23C5" w:rsidRDefault="009F23C5" w:rsidP="009F23C5">
      <w:pPr>
        <w:pStyle w:val="Nadpis5"/>
      </w:pPr>
      <w:r>
        <w:lastRenderedPageBreak/>
        <w:t>Několik úvah o těchto úlohách vcelku</w:t>
      </w:r>
      <w:bookmarkEnd w:id="4"/>
      <w:bookmarkEnd w:id="5"/>
      <w:bookmarkEnd w:id="6"/>
      <w:bookmarkEnd w:id="7"/>
    </w:p>
    <w:p w:rsidR="009F23C5" w:rsidRDefault="009F23C5" w:rsidP="009F23C5">
      <w:r>
        <w:t xml:space="preserve">Úlohy katecheze tvoří celek, bohatý a různorodý ve svých aspektech. O tomto celku </w:t>
      </w:r>
    </w:p>
    <w:p w:rsidR="009F23C5" w:rsidRDefault="009F23C5" w:rsidP="009F23C5">
      <w:r>
        <w:t>je vhodné vyjádřit několik úvah:</w:t>
      </w:r>
    </w:p>
    <w:p w:rsidR="009F23C5" w:rsidRDefault="009F23C5" w:rsidP="009F23C5">
      <w:r>
        <w:t>Všechny tyto úlohy jsou nezbytné. Jako je pro vitalitu lidského organismu nutné, aby fungovaly všechny jeho orgány, tak je pro růst křesťanského života třeba, aby byly rozvíjeny všechny jeho rozměry: poznání víry, liturgický život, morální formace, modlitba, příslušnost ke společenství, misijní duch. Jestliže katecheze zanedbá jeden z těchto rozměrů, křesťanská víra nedosáhne svého plného rozvoje.</w:t>
      </w:r>
    </w:p>
    <w:p w:rsidR="009F23C5" w:rsidRDefault="009F23C5" w:rsidP="009F23C5">
      <w:r>
        <w:t xml:space="preserve">Každá úloha svým způsobem uskutečňuje cíl katecheze. Morální formace je například bytostně </w:t>
      </w:r>
      <w:proofErr w:type="spellStart"/>
      <w:r>
        <w:t>kristologická</w:t>
      </w:r>
      <w:proofErr w:type="spellEnd"/>
      <w:r>
        <w:t xml:space="preserve"> a trinitární, plná smyslu pro církev a otevřená společenskému rozměru. Totéž platí o liturgické výchově, bytostně náboženské a církevní, ale též velice náročné ve svém evangelizačním úsilí ve prospěch světa.</w:t>
      </w:r>
    </w:p>
    <w:p w:rsidR="009F23C5" w:rsidRDefault="009F23C5" w:rsidP="009F23C5">
      <w:r>
        <w:t>Úlohy vyplývají navzájem jedna z druhé a jsou naplňovány současně. Každé velké katechetické téma, například o Bohu Otci, má poznávací rozměr a morální důsledky; vnitřně je přijímáno v modlitbě a osvojováno ve svědectví. Jedna úloha potřebuje druhou: poznání víry připravuje k misii; svátostný život dává sílu k mravní proměně.</w:t>
      </w:r>
    </w:p>
    <w:p w:rsidR="009F23C5" w:rsidRDefault="009F23C5" w:rsidP="009F23C5">
      <w:r>
        <w:t>K naplnění svých úloh používá katecheze dva velké prostředky: předávání evangelního poselství a zkušenost křesťanského života.</w:t>
      </w:r>
      <w:r>
        <w:rPr>
          <w:rStyle w:val="Znakapoznpodarou"/>
        </w:rPr>
        <w:footnoteReference w:id="25"/>
      </w:r>
      <w:r>
        <w:t xml:space="preserve"> Liturgická výchova, například, má vysvětlovat, co je to křesťanská liturgie a co jsou svátosti; má však také vést k získání zkušenosti s rozdílnými způsoby liturgického slavení, k objevování a oblíbení si symbolů, smyslu vnějších gest atd. Morální formace nejenom předává obsah křesťanské morálky, ale aktivně také rozvíjí evangelní postoje a křesťanské hodnoty.</w:t>
      </w:r>
    </w:p>
    <w:p w:rsidR="009F23C5" w:rsidRDefault="009F23C5" w:rsidP="009F23C5">
      <w:r>
        <w:t>Jednotlivé rozměry víry jsou předmětem výchovy jak z hlediska „daru“, tak z hlediska „závazku“. Poznání víry, liturgický život a následování Krista, každý tento rozměr je darem Ducha, který přijímáme v modlitbě, a zároveň je závazkem k úsilí o studium, o duchovní a mravní život a o svědectví. Obě tato hlediska musejí být rozvíjena.</w:t>
      </w:r>
      <w:r>
        <w:rPr>
          <w:rStyle w:val="Znakapoznpodarou"/>
        </w:rPr>
        <w:footnoteReference w:id="26"/>
      </w:r>
    </w:p>
    <w:p w:rsidR="009F23C5" w:rsidRDefault="009F23C5" w:rsidP="009F23C5">
      <w:r>
        <w:t>Každý rozměr víry, jakož i víra jako celek, musí být zakotven v lidské zkušenosti a nezůstávat v osobě jako něco umělého a osamoceného. Poznání víry je plné významu, osvěcuje celou existenci a vede dialog s kulturou; v liturgii je celý osobní život duchovní obětí; evangelní morálka přijímá a pozvedá lidské hodnoty; modlitba je otevřená všem osobním a společenským problémům.</w:t>
      </w:r>
      <w:r>
        <w:rPr>
          <w:rStyle w:val="Znakapoznpodarou"/>
        </w:rPr>
        <w:footnoteReference w:id="27"/>
      </w:r>
    </w:p>
    <w:p w:rsidR="009F23C5" w:rsidRDefault="009F23C5" w:rsidP="009F23C5">
      <w:r>
        <w:t>Jak udávalo Direktorium z roku 1971, „je důležité, aby katecheze respektovala tuto bohatost činnosti tak, aby žádný aspekt nebyl izolován na úkor ostatních“.</w:t>
      </w:r>
      <w:r>
        <w:rPr>
          <w:rStyle w:val="Znakapoznpodarou"/>
        </w:rPr>
        <w:footnoteReference w:id="28"/>
      </w:r>
    </w:p>
    <w:p w:rsidR="00CD6432" w:rsidRDefault="00CD6432"/>
    <w:sectPr w:rsidR="00CD6432" w:rsidSect="00F81A7F">
      <w:head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112" w:rsidRDefault="00312112" w:rsidP="009F23C5">
      <w:pPr>
        <w:spacing w:before="0" w:line="240" w:lineRule="auto"/>
      </w:pPr>
      <w:r>
        <w:separator/>
      </w:r>
    </w:p>
  </w:endnote>
  <w:endnote w:type="continuationSeparator" w:id="0">
    <w:p w:rsidR="00312112" w:rsidRDefault="00312112" w:rsidP="009F23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112" w:rsidRDefault="00312112" w:rsidP="009F23C5">
      <w:pPr>
        <w:spacing w:before="0" w:line="240" w:lineRule="auto"/>
      </w:pPr>
      <w:r>
        <w:separator/>
      </w:r>
    </w:p>
  </w:footnote>
  <w:footnote w:type="continuationSeparator" w:id="0">
    <w:p w:rsidR="00312112" w:rsidRDefault="00312112" w:rsidP="009F23C5">
      <w:pPr>
        <w:spacing w:before="0" w:line="240" w:lineRule="auto"/>
      </w:pPr>
      <w:r>
        <w:continuationSeparator/>
      </w:r>
    </w:p>
  </w:footnote>
  <w:footnote w:id="1">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VKD (1971) </w:t>
      </w:r>
      <w:proofErr w:type="gramStart"/>
      <w:r w:rsidRPr="00521CF3">
        <w:rPr>
          <w:sz w:val="20"/>
        </w:rPr>
        <w:t>36a</w:t>
      </w:r>
      <w:proofErr w:type="gramEnd"/>
      <w:r w:rsidRPr="00521CF3">
        <w:rPr>
          <w:sz w:val="20"/>
        </w:rPr>
        <w:t>.</w:t>
      </w:r>
    </w:p>
  </w:footnote>
  <w:footnote w:id="2">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VKD (1971) 24.</w:t>
      </w:r>
    </w:p>
  </w:footnote>
  <w:footnote w:id="3">
    <w:p w:rsidR="009F23C5" w:rsidRDefault="009F23C5" w:rsidP="00521CF3">
      <w:pPr>
        <w:pStyle w:val="Textpoznpodarou"/>
        <w:spacing w:before="0"/>
      </w:pPr>
      <w:r w:rsidRPr="00521CF3">
        <w:rPr>
          <w:rStyle w:val="Znakapoznpodarou"/>
          <w:sz w:val="20"/>
        </w:rPr>
        <w:footnoteRef/>
      </w:r>
      <w:r w:rsidRPr="00521CF3">
        <w:rPr>
          <w:sz w:val="20"/>
        </w:rPr>
        <w:t xml:space="preserve"> DV </w:t>
      </w:r>
      <w:proofErr w:type="gramStart"/>
      <w:r w:rsidRPr="00521CF3">
        <w:rPr>
          <w:sz w:val="20"/>
        </w:rPr>
        <w:t>25a</w:t>
      </w:r>
      <w:proofErr w:type="gramEnd"/>
      <w:r w:rsidRPr="00521CF3">
        <w:rPr>
          <w:sz w:val="20"/>
        </w:rPr>
        <w:t>.</w:t>
      </w:r>
    </w:p>
  </w:footnote>
  <w:footnote w:id="4">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SC 7.</w:t>
      </w:r>
    </w:p>
  </w:footnote>
  <w:footnote w:id="5">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SC 14.</w:t>
      </w:r>
    </w:p>
  </w:footnote>
  <w:footnote w:id="6">
    <w:p w:rsidR="009F23C5" w:rsidRDefault="009F23C5" w:rsidP="00521CF3">
      <w:pPr>
        <w:pStyle w:val="Textpoznpodarou"/>
        <w:spacing w:before="0"/>
      </w:pPr>
      <w:r w:rsidRPr="00521CF3">
        <w:rPr>
          <w:rStyle w:val="Znakapoznpodarou"/>
          <w:sz w:val="20"/>
        </w:rPr>
        <w:footnoteRef/>
      </w:r>
      <w:r w:rsidRPr="00521CF3">
        <w:rPr>
          <w:sz w:val="20"/>
        </w:rPr>
        <w:t xml:space="preserve"> VKD (1971) </w:t>
      </w:r>
      <w:proofErr w:type="gramStart"/>
      <w:r w:rsidRPr="00521CF3">
        <w:rPr>
          <w:sz w:val="20"/>
        </w:rPr>
        <w:t>25b</w:t>
      </w:r>
      <w:proofErr w:type="gramEnd"/>
      <w:r w:rsidRPr="00521CF3">
        <w:rPr>
          <w:sz w:val="20"/>
        </w:rPr>
        <w:t>.</w:t>
      </w:r>
    </w:p>
  </w:footnote>
  <w:footnote w:id="7">
    <w:p w:rsidR="009F23C5" w:rsidRPr="00C0359E" w:rsidRDefault="009F23C5" w:rsidP="00C0359E">
      <w:pPr>
        <w:pStyle w:val="Textpoznpodarou"/>
        <w:spacing w:before="0" w:line="240" w:lineRule="auto"/>
        <w:rPr>
          <w:sz w:val="18"/>
          <w:szCs w:val="18"/>
        </w:rPr>
      </w:pPr>
      <w:r w:rsidRPr="00C0359E">
        <w:rPr>
          <w:rStyle w:val="Znakapoznpodarou"/>
          <w:sz w:val="18"/>
          <w:szCs w:val="18"/>
        </w:rPr>
        <w:footnoteRef/>
      </w:r>
      <w:r w:rsidRPr="00C0359E">
        <w:rPr>
          <w:sz w:val="18"/>
          <w:szCs w:val="18"/>
        </w:rPr>
        <w:t xml:space="preserve"> AG 13.</w:t>
      </w:r>
    </w:p>
  </w:footnote>
  <w:footnote w:id="8">
    <w:p w:rsidR="009F23C5" w:rsidRPr="00C0359E" w:rsidRDefault="009F23C5" w:rsidP="00C0359E">
      <w:pPr>
        <w:pStyle w:val="Textpoznpodarou"/>
        <w:spacing w:before="0" w:line="240" w:lineRule="auto"/>
        <w:rPr>
          <w:sz w:val="18"/>
          <w:szCs w:val="18"/>
        </w:rPr>
      </w:pPr>
      <w:r w:rsidRPr="00C0359E">
        <w:rPr>
          <w:rStyle w:val="Znakapoznpodarou"/>
          <w:sz w:val="18"/>
          <w:szCs w:val="18"/>
        </w:rPr>
        <w:footnoteRef/>
      </w:r>
      <w:r w:rsidRPr="00C0359E">
        <w:rPr>
          <w:sz w:val="18"/>
          <w:szCs w:val="18"/>
        </w:rPr>
        <w:t xml:space="preserve"> Srov. LC 62; KKC 1965-1986. KKC 1697 upřesňuje zvláště vlastnosti, kterých má katecheze nabýt v morální formaci.</w:t>
      </w:r>
    </w:p>
  </w:footnote>
  <w:footnote w:id="9">
    <w:p w:rsidR="009F23C5" w:rsidRPr="00C0359E" w:rsidRDefault="009F23C5" w:rsidP="00C0359E">
      <w:pPr>
        <w:pStyle w:val="Textpoznpodarou"/>
        <w:spacing w:before="0" w:line="240" w:lineRule="auto"/>
        <w:rPr>
          <w:sz w:val="18"/>
          <w:szCs w:val="18"/>
        </w:rPr>
      </w:pPr>
      <w:r w:rsidRPr="00C0359E">
        <w:rPr>
          <w:rStyle w:val="Znakapoznpodarou"/>
          <w:sz w:val="18"/>
          <w:szCs w:val="18"/>
        </w:rPr>
        <w:footnoteRef/>
      </w:r>
      <w:r w:rsidRPr="00C0359E">
        <w:rPr>
          <w:sz w:val="18"/>
          <w:szCs w:val="18"/>
        </w:rPr>
        <w:t xml:space="preserve"> VS 107.</w:t>
      </w:r>
    </w:p>
  </w:footnote>
  <w:footnote w:id="10">
    <w:p w:rsidR="009F23C5" w:rsidRPr="00C0359E" w:rsidRDefault="009F23C5" w:rsidP="00C0359E">
      <w:pPr>
        <w:pStyle w:val="Textpoznpodarou"/>
        <w:spacing w:before="0" w:line="240" w:lineRule="auto"/>
        <w:rPr>
          <w:sz w:val="18"/>
          <w:szCs w:val="18"/>
        </w:rPr>
      </w:pPr>
      <w:r w:rsidRPr="00C0359E">
        <w:rPr>
          <w:rStyle w:val="Znakapoznpodarou"/>
          <w:sz w:val="18"/>
          <w:szCs w:val="18"/>
        </w:rPr>
        <w:footnoteRef/>
      </w:r>
      <w:r w:rsidRPr="00C0359E">
        <w:rPr>
          <w:sz w:val="18"/>
          <w:szCs w:val="18"/>
        </w:rPr>
        <w:t xml:space="preserve"> Srov. CT </w:t>
      </w:r>
      <w:smartTag w:uri="urn:schemas-microsoft-com:office:smarttags" w:element="metricconverter">
        <w:smartTagPr>
          <w:attr w:name="ProductID" w:val="29f"/>
        </w:smartTagPr>
        <w:r w:rsidRPr="00C0359E">
          <w:rPr>
            <w:sz w:val="18"/>
            <w:szCs w:val="18"/>
          </w:rPr>
          <w:t>29f</w:t>
        </w:r>
      </w:smartTag>
      <w:r w:rsidRPr="00C0359E">
        <w:rPr>
          <w:sz w:val="18"/>
          <w:szCs w:val="18"/>
        </w:rPr>
        <w:t>.</w:t>
      </w:r>
    </w:p>
  </w:footnote>
  <w:footnote w:id="11">
    <w:p w:rsidR="00294BAE" w:rsidRDefault="00294BAE" w:rsidP="00C0359E">
      <w:pPr>
        <w:pStyle w:val="Textpoznpodarou"/>
        <w:spacing w:line="240" w:lineRule="auto"/>
      </w:pPr>
      <w:r w:rsidRPr="00C0359E">
        <w:rPr>
          <w:rStyle w:val="Znakapoznpodarou"/>
          <w:sz w:val="18"/>
          <w:szCs w:val="18"/>
        </w:rPr>
        <w:footnoteRef/>
      </w:r>
      <w:r w:rsidRPr="00C0359E">
        <w:rPr>
          <w:sz w:val="18"/>
          <w:szCs w:val="18"/>
        </w:rPr>
        <w:t xml:space="preserve"> Srov. LC 62; KKC 1965-1986. KKC 1697 upřesňuje zvláště vlastnosti, kterých má katecheze nabýt v morální formaci.</w:t>
      </w:r>
    </w:p>
  </w:footnote>
  <w:footnote w:id="12">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RICA </w:t>
      </w:r>
      <w:smartTag w:uri="urn:schemas-microsoft-com:office:smarttags" w:element="metricconverter">
        <w:smartTagPr>
          <w:attr w:name="ProductID" w:val="25 a"/>
        </w:smartTagPr>
        <w:r w:rsidRPr="00521CF3">
          <w:rPr>
            <w:sz w:val="20"/>
          </w:rPr>
          <w:t>25 a</w:t>
        </w:r>
      </w:smartTag>
      <w:r w:rsidRPr="00521CF3">
        <w:rPr>
          <w:sz w:val="20"/>
        </w:rPr>
        <w:t xml:space="preserve"> 188-191.</w:t>
      </w:r>
    </w:p>
  </w:footnote>
  <w:footnote w:id="13">
    <w:p w:rsidR="009F23C5" w:rsidRDefault="009F23C5" w:rsidP="00521CF3">
      <w:pPr>
        <w:pStyle w:val="Textpoznpodarou"/>
        <w:spacing w:before="0"/>
      </w:pPr>
      <w:r w:rsidRPr="00521CF3">
        <w:rPr>
          <w:rStyle w:val="Znakapoznpodarou"/>
          <w:sz w:val="20"/>
        </w:rPr>
        <w:footnoteRef/>
      </w:r>
      <w:r w:rsidRPr="00521CF3">
        <w:rPr>
          <w:sz w:val="20"/>
        </w:rPr>
        <w:t xml:space="preserve"> Srov. KKC 2761.</w:t>
      </w:r>
    </w:p>
  </w:footnote>
  <w:footnote w:id="14">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PO </w:t>
      </w:r>
      <w:proofErr w:type="gramStart"/>
      <w:r w:rsidRPr="00521CF3">
        <w:rPr>
          <w:sz w:val="20"/>
        </w:rPr>
        <w:t>6d</w:t>
      </w:r>
      <w:proofErr w:type="gramEnd"/>
      <w:r w:rsidRPr="00521CF3">
        <w:rPr>
          <w:sz w:val="20"/>
        </w:rPr>
        <w:t>.</w:t>
      </w:r>
    </w:p>
  </w:footnote>
  <w:footnote w:id="15">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AG </w:t>
      </w:r>
      <w:proofErr w:type="gramStart"/>
      <w:r w:rsidRPr="00521CF3">
        <w:rPr>
          <w:sz w:val="20"/>
        </w:rPr>
        <w:t>14d</w:t>
      </w:r>
      <w:proofErr w:type="gramEnd"/>
      <w:r w:rsidRPr="00521CF3">
        <w:rPr>
          <w:sz w:val="20"/>
        </w:rPr>
        <w:t>.</w:t>
      </w:r>
    </w:p>
  </w:footnote>
  <w:footnote w:id="16">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VKD (1971) 27.</w:t>
      </w:r>
    </w:p>
  </w:footnote>
  <w:footnote w:id="17">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UR </w:t>
      </w:r>
      <w:proofErr w:type="gramStart"/>
      <w:r w:rsidRPr="00521CF3">
        <w:rPr>
          <w:sz w:val="20"/>
        </w:rPr>
        <w:t>3b</w:t>
      </w:r>
      <w:proofErr w:type="gramEnd"/>
      <w:r w:rsidRPr="00521CF3">
        <w:rPr>
          <w:sz w:val="20"/>
        </w:rPr>
        <w:t>.</w:t>
      </w:r>
    </w:p>
  </w:footnote>
  <w:footnote w:id="18">
    <w:p w:rsidR="009F23C5" w:rsidRDefault="009F23C5" w:rsidP="00521CF3">
      <w:pPr>
        <w:pStyle w:val="Textpoznpodarou"/>
        <w:spacing w:before="0"/>
      </w:pPr>
      <w:r w:rsidRPr="00521CF3">
        <w:rPr>
          <w:rStyle w:val="Znakapoznpodarou"/>
          <w:sz w:val="20"/>
        </w:rPr>
        <w:footnoteRef/>
      </w:r>
      <w:r w:rsidRPr="00521CF3">
        <w:rPr>
          <w:sz w:val="20"/>
        </w:rPr>
        <w:t xml:space="preserve"> CT 32; srov. KKC 821; CT 32-34.</w:t>
      </w:r>
    </w:p>
  </w:footnote>
  <w:footnote w:id="19">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CT 24c a VKD (1971) 28.</w:t>
      </w:r>
    </w:p>
  </w:footnote>
  <w:footnote w:id="20">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LG </w:t>
      </w:r>
      <w:proofErr w:type="gramStart"/>
      <w:r w:rsidRPr="00521CF3">
        <w:rPr>
          <w:sz w:val="20"/>
        </w:rPr>
        <w:t>31b</w:t>
      </w:r>
      <w:proofErr w:type="gramEnd"/>
      <w:r w:rsidRPr="00521CF3">
        <w:rPr>
          <w:sz w:val="20"/>
        </w:rPr>
        <w:t xml:space="preserve"> a </w:t>
      </w:r>
      <w:proofErr w:type="spellStart"/>
      <w:r w:rsidRPr="00521CF3">
        <w:rPr>
          <w:sz w:val="20"/>
        </w:rPr>
        <w:t>ChL</w:t>
      </w:r>
      <w:proofErr w:type="spellEnd"/>
      <w:r w:rsidRPr="00521CF3">
        <w:rPr>
          <w:sz w:val="20"/>
        </w:rPr>
        <w:t xml:space="preserve"> 15; KKC 898-900</w:t>
      </w:r>
    </w:p>
  </w:footnote>
  <w:footnote w:id="21">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w:t>
      </w:r>
      <w:proofErr w:type="spellStart"/>
      <w:r w:rsidRPr="00521CF3">
        <w:rPr>
          <w:sz w:val="20"/>
        </w:rPr>
        <w:t>Mt</w:t>
      </w:r>
      <w:proofErr w:type="spellEnd"/>
      <w:r w:rsidRPr="00521CF3">
        <w:rPr>
          <w:sz w:val="20"/>
        </w:rPr>
        <w:t xml:space="preserve"> 10,5-</w:t>
      </w:r>
      <w:smartTag w:uri="urn:schemas-microsoft-com:office:smarttags" w:element="metricconverter">
        <w:smartTagPr>
          <w:attr w:name="ProductID" w:val="42 a"/>
        </w:smartTagPr>
        <w:r w:rsidRPr="00521CF3">
          <w:rPr>
            <w:sz w:val="20"/>
          </w:rPr>
          <w:t>42 a</w:t>
        </w:r>
      </w:smartTag>
      <w:r w:rsidRPr="00521CF3">
        <w:rPr>
          <w:sz w:val="20"/>
        </w:rPr>
        <w:t xml:space="preserve"> </w:t>
      </w:r>
      <w:proofErr w:type="spellStart"/>
      <w:r w:rsidRPr="00521CF3">
        <w:rPr>
          <w:sz w:val="20"/>
        </w:rPr>
        <w:t>Lk</w:t>
      </w:r>
      <w:proofErr w:type="spellEnd"/>
      <w:r w:rsidRPr="00521CF3">
        <w:rPr>
          <w:sz w:val="20"/>
        </w:rPr>
        <w:t xml:space="preserve"> 10,1-20.</w:t>
      </w:r>
    </w:p>
  </w:footnote>
  <w:footnote w:id="22">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EN </w:t>
      </w:r>
      <w:smartTag w:uri="urn:schemas-microsoft-com:office:smarttags" w:element="metricconverter">
        <w:smartTagPr>
          <w:attr w:name="ProductID" w:val="53 a"/>
        </w:smartTagPr>
        <w:r w:rsidRPr="00521CF3">
          <w:rPr>
            <w:sz w:val="20"/>
          </w:rPr>
          <w:t>53 a</w:t>
        </w:r>
      </w:smartTag>
      <w:r w:rsidRPr="00521CF3">
        <w:rPr>
          <w:sz w:val="20"/>
        </w:rPr>
        <w:t xml:space="preserve"> RM 55-57.</w:t>
      </w:r>
    </w:p>
  </w:footnote>
  <w:footnote w:id="23">
    <w:p w:rsidR="009F23C5" w:rsidRPr="00521CF3" w:rsidRDefault="009F23C5" w:rsidP="00521CF3">
      <w:pPr>
        <w:pStyle w:val="Textpoznpodarou"/>
        <w:spacing w:before="0"/>
        <w:rPr>
          <w:smallCaps/>
          <w:sz w:val="20"/>
        </w:rPr>
      </w:pPr>
      <w:r w:rsidRPr="00521CF3">
        <w:rPr>
          <w:rStyle w:val="Znakapoznpodarou"/>
          <w:sz w:val="20"/>
        </w:rPr>
        <w:footnoteRef/>
      </w:r>
      <w:r w:rsidRPr="00521CF3">
        <w:rPr>
          <w:sz w:val="20"/>
        </w:rPr>
        <w:t xml:space="preserve"> Srov. RM 55b; </w:t>
      </w:r>
      <w:proofErr w:type="gramStart"/>
      <w:r w:rsidRPr="00521CF3">
        <w:rPr>
          <w:smallCaps/>
          <w:sz w:val="20"/>
        </w:rPr>
        <w:t>Papežská  rada</w:t>
      </w:r>
      <w:proofErr w:type="gramEnd"/>
      <w:r w:rsidRPr="00521CF3">
        <w:rPr>
          <w:smallCaps/>
          <w:sz w:val="20"/>
        </w:rPr>
        <w:t xml:space="preserve">  pro  mezináboženský  dialog  a  Kongregace  pro  evangelizaci národů,  </w:t>
      </w:r>
      <w:r w:rsidRPr="00521CF3">
        <w:rPr>
          <w:sz w:val="20"/>
        </w:rPr>
        <w:t xml:space="preserve">Instrukce </w:t>
      </w:r>
      <w:proofErr w:type="spellStart"/>
      <w:r w:rsidRPr="00521CF3">
        <w:rPr>
          <w:i/>
          <w:sz w:val="20"/>
        </w:rPr>
        <w:t>Dialogo</w:t>
      </w:r>
      <w:proofErr w:type="spellEnd"/>
      <w:r w:rsidRPr="00521CF3">
        <w:rPr>
          <w:i/>
          <w:sz w:val="20"/>
        </w:rPr>
        <w:t xml:space="preserve"> e </w:t>
      </w:r>
      <w:proofErr w:type="spellStart"/>
      <w:r w:rsidRPr="00521CF3">
        <w:rPr>
          <w:i/>
          <w:sz w:val="20"/>
        </w:rPr>
        <w:t>Annuncio</w:t>
      </w:r>
      <w:proofErr w:type="spellEnd"/>
      <w:r w:rsidRPr="00521CF3">
        <w:rPr>
          <w:i/>
          <w:sz w:val="20"/>
        </w:rPr>
        <w:t xml:space="preserve">. </w:t>
      </w:r>
      <w:proofErr w:type="spellStart"/>
      <w:r w:rsidRPr="00521CF3">
        <w:rPr>
          <w:i/>
          <w:sz w:val="20"/>
        </w:rPr>
        <w:t>Riflessioni</w:t>
      </w:r>
      <w:proofErr w:type="spellEnd"/>
      <w:r w:rsidRPr="00521CF3">
        <w:rPr>
          <w:i/>
          <w:sz w:val="20"/>
        </w:rPr>
        <w:t xml:space="preserve"> e </w:t>
      </w:r>
      <w:proofErr w:type="spellStart"/>
      <w:r w:rsidRPr="00521CF3">
        <w:rPr>
          <w:i/>
          <w:sz w:val="20"/>
        </w:rPr>
        <w:t>orientamenti</w:t>
      </w:r>
      <w:proofErr w:type="spellEnd"/>
      <w:r w:rsidRPr="00521CF3">
        <w:rPr>
          <w:i/>
          <w:sz w:val="20"/>
        </w:rPr>
        <w:t xml:space="preserve"> </w:t>
      </w:r>
      <w:r w:rsidRPr="00521CF3">
        <w:rPr>
          <w:sz w:val="20"/>
        </w:rPr>
        <w:t xml:space="preserve">de </w:t>
      </w:r>
      <w:proofErr w:type="spellStart"/>
      <w:r w:rsidRPr="00521CF3">
        <w:rPr>
          <w:sz w:val="20"/>
        </w:rPr>
        <w:t>Evangelio</w:t>
      </w:r>
      <w:proofErr w:type="spellEnd"/>
      <w:r w:rsidRPr="00521CF3">
        <w:rPr>
          <w:sz w:val="20"/>
        </w:rPr>
        <w:t xml:space="preserve"> </w:t>
      </w:r>
      <w:proofErr w:type="spellStart"/>
      <w:r w:rsidRPr="00521CF3">
        <w:rPr>
          <w:sz w:val="20"/>
        </w:rPr>
        <w:t>nuntiando</w:t>
      </w:r>
      <w:proofErr w:type="spellEnd"/>
      <w:r w:rsidRPr="00521CF3">
        <w:rPr>
          <w:sz w:val="20"/>
        </w:rPr>
        <w:t xml:space="preserve"> et de </w:t>
      </w:r>
      <w:proofErr w:type="spellStart"/>
      <w:r w:rsidRPr="00521CF3">
        <w:rPr>
          <w:sz w:val="20"/>
        </w:rPr>
        <w:t>Dialogo</w:t>
      </w:r>
      <w:proofErr w:type="spellEnd"/>
      <w:r w:rsidRPr="00521CF3">
        <w:rPr>
          <w:sz w:val="20"/>
        </w:rPr>
        <w:t xml:space="preserve"> inter </w:t>
      </w:r>
      <w:proofErr w:type="spellStart"/>
      <w:proofErr w:type="gramStart"/>
      <w:r w:rsidRPr="00521CF3">
        <w:rPr>
          <w:sz w:val="20"/>
        </w:rPr>
        <w:t>Religioso</w:t>
      </w:r>
      <w:proofErr w:type="spellEnd"/>
      <w:r w:rsidRPr="00521CF3">
        <w:rPr>
          <w:sz w:val="20"/>
        </w:rPr>
        <w:t xml:space="preserve">  (</w:t>
      </w:r>
      <w:proofErr w:type="gramEnd"/>
      <w:r w:rsidRPr="00521CF3">
        <w:rPr>
          <w:sz w:val="20"/>
        </w:rPr>
        <w:t>19.května 1991), čl. 14-54: AAS 84 (1992) str. 419-432.  KKC  839-845; V Části IV, kap. 4 v pojednání o příjemcích katecheze se vracíme k tomuto tématu v části „Katecheze v kontextu jiných náboženství“.</w:t>
      </w:r>
    </w:p>
  </w:footnote>
  <w:footnote w:id="24">
    <w:p w:rsidR="009F23C5" w:rsidRDefault="009F23C5" w:rsidP="00521CF3">
      <w:pPr>
        <w:pStyle w:val="Textpoznpodarou"/>
        <w:spacing w:before="0"/>
      </w:pPr>
      <w:r w:rsidRPr="00521CF3">
        <w:rPr>
          <w:rStyle w:val="Znakapoznpodarou"/>
          <w:sz w:val="20"/>
        </w:rPr>
        <w:footnoteRef/>
      </w:r>
      <w:r w:rsidRPr="00521CF3">
        <w:rPr>
          <w:sz w:val="20"/>
        </w:rPr>
        <w:t xml:space="preserve"> RM </w:t>
      </w:r>
      <w:proofErr w:type="gramStart"/>
      <w:r w:rsidRPr="00521CF3">
        <w:rPr>
          <w:sz w:val="20"/>
        </w:rPr>
        <w:t>55a</w:t>
      </w:r>
      <w:proofErr w:type="gramEnd"/>
      <w:r w:rsidRPr="00521CF3">
        <w:rPr>
          <w:sz w:val="20"/>
        </w:rPr>
        <w:t>.</w:t>
      </w:r>
    </w:p>
  </w:footnote>
  <w:footnote w:id="25">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CIC </w:t>
      </w:r>
      <w:smartTag w:uri="urn:schemas-microsoft-com:office:smarttags" w:element="metricconverter">
        <w:smartTagPr>
          <w:attr w:name="ProductID" w:val="773 a"/>
        </w:smartTagPr>
        <w:r w:rsidRPr="00521CF3">
          <w:rPr>
            <w:sz w:val="20"/>
          </w:rPr>
          <w:t>773 a</w:t>
        </w:r>
      </w:smartTag>
      <w:r w:rsidRPr="00521CF3">
        <w:rPr>
          <w:sz w:val="20"/>
        </w:rPr>
        <w:t xml:space="preserve"> 788.2.</w:t>
      </w:r>
    </w:p>
  </w:footnote>
  <w:footnote w:id="26">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Srov. VKD (1971) </w:t>
      </w:r>
      <w:smartTag w:uri="urn:schemas-microsoft-com:office:smarttags" w:element="metricconverter">
        <w:smartTagPr>
          <w:attr w:name="ProductID" w:val="22 a"/>
        </w:smartTagPr>
        <w:r w:rsidRPr="00521CF3">
          <w:rPr>
            <w:sz w:val="20"/>
          </w:rPr>
          <w:t>22 a</w:t>
        </w:r>
      </w:smartTag>
      <w:r w:rsidRPr="00521CF3">
        <w:rPr>
          <w:sz w:val="20"/>
        </w:rPr>
        <w:t xml:space="preserve"> 23.</w:t>
      </w:r>
    </w:p>
  </w:footnote>
  <w:footnote w:id="27">
    <w:p w:rsidR="009F23C5" w:rsidRDefault="009F23C5" w:rsidP="00521CF3">
      <w:pPr>
        <w:pStyle w:val="Textpoznpodarou"/>
        <w:spacing w:before="0"/>
      </w:pPr>
      <w:r w:rsidRPr="00521CF3">
        <w:rPr>
          <w:rStyle w:val="Znakapoznpodarou"/>
          <w:sz w:val="20"/>
        </w:rPr>
        <w:footnoteRef/>
      </w:r>
      <w:r w:rsidRPr="00521CF3">
        <w:rPr>
          <w:sz w:val="20"/>
        </w:rPr>
        <w:t xml:space="preserve"> Srov. VKD (1971) 26.</w:t>
      </w:r>
    </w:p>
  </w:footnote>
  <w:footnote w:id="28">
    <w:p w:rsidR="009F23C5" w:rsidRPr="00521CF3" w:rsidRDefault="009F23C5" w:rsidP="00521CF3">
      <w:pPr>
        <w:pStyle w:val="Textpoznpodarou"/>
        <w:spacing w:before="0"/>
        <w:rPr>
          <w:sz w:val="20"/>
        </w:rPr>
      </w:pPr>
      <w:r w:rsidRPr="00521CF3">
        <w:rPr>
          <w:rStyle w:val="Znakapoznpodarou"/>
          <w:sz w:val="20"/>
        </w:rPr>
        <w:footnoteRef/>
      </w:r>
      <w:r w:rsidRPr="00521CF3">
        <w:rPr>
          <w:sz w:val="20"/>
        </w:rPr>
        <w:t xml:space="preserve"> VKD (1971) </w:t>
      </w:r>
      <w:proofErr w:type="gramStart"/>
      <w:r w:rsidRPr="00521CF3">
        <w:rPr>
          <w:sz w:val="20"/>
        </w:rPr>
        <w:t>31b</w:t>
      </w:r>
      <w:proofErr w:type="gramEnd"/>
      <w:r w:rsidRPr="00521CF3">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FC" w:rsidRDefault="00AD1EFC">
    <w:pPr>
      <w:pStyle w:val="Zhlav"/>
    </w:pPr>
    <w:r>
      <w:t xml:space="preserve">ZÁKLADNÍ ÚKOLY KATECHEZE PODLE VDK </w:t>
    </w:r>
    <w:proofErr w:type="gramStart"/>
    <w:r>
      <w:t>84 - 86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67204"/>
    <w:multiLevelType w:val="hybridMultilevel"/>
    <w:tmpl w:val="E60611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3C5"/>
    <w:rsid w:val="00163FFD"/>
    <w:rsid w:val="00294BAE"/>
    <w:rsid w:val="002C4D4B"/>
    <w:rsid w:val="00312112"/>
    <w:rsid w:val="004A6847"/>
    <w:rsid w:val="00521CF3"/>
    <w:rsid w:val="00530F0B"/>
    <w:rsid w:val="00670D41"/>
    <w:rsid w:val="00827061"/>
    <w:rsid w:val="008C7594"/>
    <w:rsid w:val="009F23C5"/>
    <w:rsid w:val="00AB61EC"/>
    <w:rsid w:val="00AD1EFC"/>
    <w:rsid w:val="00BE328F"/>
    <w:rsid w:val="00C0359E"/>
    <w:rsid w:val="00C33220"/>
    <w:rsid w:val="00CD6432"/>
    <w:rsid w:val="00D42840"/>
    <w:rsid w:val="00D55C7D"/>
    <w:rsid w:val="00E46BE4"/>
    <w:rsid w:val="00E53F60"/>
    <w:rsid w:val="00ED5FBA"/>
    <w:rsid w:val="00F024B4"/>
    <w:rsid w:val="00F81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6BFEEA1"/>
  <w15:docId w15:val="{B82C581D-0193-457F-8F96-24A0B89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F23C5"/>
    <w:pPr>
      <w:spacing w:before="120" w:line="288" w:lineRule="auto"/>
    </w:pPr>
    <w:rPr>
      <w:sz w:val="24"/>
    </w:rPr>
  </w:style>
  <w:style w:type="paragraph" w:styleId="Nadpis5">
    <w:name w:val="heading 5"/>
    <w:basedOn w:val="Normln"/>
    <w:next w:val="Normln"/>
    <w:link w:val="Nadpis5Char"/>
    <w:qFormat/>
    <w:rsid w:val="009F23C5"/>
    <w:pPr>
      <w:keepNext/>
      <w:spacing w:before="240"/>
      <w:outlineLvl w:val="4"/>
    </w:pPr>
    <w:rPr>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peklad">
    <w:name w:val="norm-překlad"/>
    <w:basedOn w:val="Normln"/>
    <w:link w:val="norm-pekladChar"/>
    <w:qFormat/>
    <w:rsid w:val="00D42840"/>
    <w:pPr>
      <w:shd w:val="clear" w:color="auto" w:fill="FFFFFF"/>
      <w:spacing w:before="0"/>
    </w:pPr>
    <w:rPr>
      <w:color w:val="00B050"/>
    </w:rPr>
  </w:style>
  <w:style w:type="character" w:customStyle="1" w:styleId="norm-pekladChar">
    <w:name w:val="norm-překlad Char"/>
    <w:basedOn w:val="Standardnpsmoodstavce"/>
    <w:link w:val="norm-peklad"/>
    <w:rsid w:val="00D42840"/>
    <w:rPr>
      <w:color w:val="00B050"/>
      <w:sz w:val="24"/>
      <w:szCs w:val="24"/>
      <w:shd w:val="clear" w:color="auto" w:fill="FFFFFF"/>
    </w:rPr>
  </w:style>
  <w:style w:type="paragraph" w:customStyle="1" w:styleId="Texttabulky">
    <w:name w:val="Text tabulky"/>
    <w:basedOn w:val="Normln"/>
    <w:link w:val="TexttabulkyChar"/>
    <w:qFormat/>
    <w:rsid w:val="004A6847"/>
    <w:pPr>
      <w:spacing w:before="40" w:after="40"/>
    </w:pPr>
    <w:rPr>
      <w:rFonts w:ascii="Tahoma" w:hAnsi="Tahoma" w:cs="Tahoma"/>
      <w:color w:val="666666"/>
      <w:sz w:val="16"/>
      <w:szCs w:val="16"/>
    </w:rPr>
  </w:style>
  <w:style w:type="character" w:customStyle="1" w:styleId="TexttabulkyChar">
    <w:name w:val="Text tabulky Char"/>
    <w:basedOn w:val="Standardnpsmoodstavce"/>
    <w:link w:val="Texttabulky"/>
    <w:rsid w:val="004A6847"/>
    <w:rPr>
      <w:rFonts w:ascii="Tahoma" w:hAnsi="Tahoma" w:cs="Tahoma"/>
      <w:color w:val="666666"/>
      <w:sz w:val="16"/>
      <w:szCs w:val="16"/>
    </w:rPr>
  </w:style>
  <w:style w:type="character" w:customStyle="1" w:styleId="Nadpis5Char">
    <w:name w:val="Nadpis 5 Char"/>
    <w:basedOn w:val="Standardnpsmoodstavce"/>
    <w:link w:val="Nadpis5"/>
    <w:rsid w:val="009F23C5"/>
    <w:rPr>
      <w:b/>
      <w:sz w:val="24"/>
      <w:szCs w:val="24"/>
    </w:rPr>
  </w:style>
  <w:style w:type="paragraph" w:styleId="Textpoznpodarou">
    <w:name w:val="footnote text"/>
    <w:basedOn w:val="Normln"/>
    <w:link w:val="TextpoznpodarouChar"/>
    <w:qFormat/>
    <w:rsid w:val="009F23C5"/>
  </w:style>
  <w:style w:type="character" w:customStyle="1" w:styleId="TextpoznpodarouChar">
    <w:name w:val="Text pozn. pod čarou Char"/>
    <w:basedOn w:val="Standardnpsmoodstavce"/>
    <w:link w:val="Textpoznpodarou"/>
    <w:uiPriority w:val="99"/>
    <w:rsid w:val="009F23C5"/>
    <w:rPr>
      <w:sz w:val="24"/>
    </w:rPr>
  </w:style>
  <w:style w:type="character" w:styleId="Znakapoznpodarou">
    <w:name w:val="footnote reference"/>
    <w:rsid w:val="009F23C5"/>
    <w:rPr>
      <w:vertAlign w:val="superscript"/>
    </w:rPr>
  </w:style>
  <w:style w:type="paragraph" w:styleId="Zhlav">
    <w:name w:val="header"/>
    <w:basedOn w:val="Normln"/>
    <w:link w:val="ZhlavChar"/>
    <w:unhideWhenUsed/>
    <w:rsid w:val="00AD1EFC"/>
    <w:pPr>
      <w:tabs>
        <w:tab w:val="center" w:pos="4536"/>
        <w:tab w:val="right" w:pos="9072"/>
      </w:tabs>
      <w:spacing w:before="0" w:line="240" w:lineRule="auto"/>
    </w:pPr>
  </w:style>
  <w:style w:type="character" w:customStyle="1" w:styleId="ZhlavChar">
    <w:name w:val="Záhlaví Char"/>
    <w:basedOn w:val="Standardnpsmoodstavce"/>
    <w:link w:val="Zhlav"/>
    <w:rsid w:val="00AD1EFC"/>
    <w:rPr>
      <w:sz w:val="24"/>
    </w:rPr>
  </w:style>
  <w:style w:type="paragraph" w:styleId="Zpat">
    <w:name w:val="footer"/>
    <w:basedOn w:val="Normln"/>
    <w:link w:val="ZpatChar"/>
    <w:unhideWhenUsed/>
    <w:rsid w:val="00AD1EFC"/>
    <w:pPr>
      <w:tabs>
        <w:tab w:val="center" w:pos="4536"/>
        <w:tab w:val="right" w:pos="9072"/>
      </w:tabs>
      <w:spacing w:before="0" w:line="240" w:lineRule="auto"/>
    </w:pPr>
  </w:style>
  <w:style w:type="character" w:customStyle="1" w:styleId="ZpatChar">
    <w:name w:val="Zápatí Char"/>
    <w:basedOn w:val="Standardnpsmoodstavce"/>
    <w:link w:val="Zpat"/>
    <w:rsid w:val="00AD1EFC"/>
    <w:rPr>
      <w:sz w:val="24"/>
    </w:rPr>
  </w:style>
  <w:style w:type="paragraph" w:styleId="Textbubliny">
    <w:name w:val="Balloon Text"/>
    <w:basedOn w:val="Normln"/>
    <w:link w:val="TextbublinyChar"/>
    <w:semiHidden/>
    <w:unhideWhenUsed/>
    <w:rsid w:val="00AD1EFC"/>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D1EFC"/>
    <w:rPr>
      <w:rFonts w:ascii="Segoe UI" w:hAnsi="Segoe UI" w:cs="Segoe UI"/>
      <w:sz w:val="18"/>
      <w:szCs w:val="18"/>
    </w:rPr>
  </w:style>
  <w:style w:type="character" w:styleId="Hypertextovodkaz">
    <w:name w:val="Hyperlink"/>
    <w:basedOn w:val="Standardnpsmoodstavce"/>
    <w:uiPriority w:val="99"/>
    <w:semiHidden/>
    <w:unhideWhenUsed/>
    <w:rsid w:val="00BE3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tykatecheze.cz/Liturg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kd.bihk.cz/vyukova-cd/slovnik-krestanstvi/" TargetMode="External"/><Relationship Id="rId12" Type="http://schemas.openxmlformats.org/officeDocument/2006/relationships/hyperlink" Target="http://www.cestykatecheze.cz/casopis/2010-4/Liturgie-skola-krestanske-modlitb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tykatecheze.cz/casopis/2012-2/Metody-vedouci-k-rozvoji-kritickeho-myslen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stykatecheze.cz/casopis/2012-3/Moralni-vychova-dospivajicich-v-podminkach-soucasne-spolecnosti.html" TargetMode="External"/><Relationship Id="rId4" Type="http://schemas.openxmlformats.org/officeDocument/2006/relationships/webSettings" Target="webSettings.xml"/><Relationship Id="rId9" Type="http://schemas.openxmlformats.org/officeDocument/2006/relationships/hyperlink" Target="http://www.cestykatecheze.cz/Ke-stazeni"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2092</Words>
  <Characters>12345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Pastorační středisko o.p.s.</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Zimmermannová Marie ThLic. Ing.</dc:creator>
  <cp:lastModifiedBy>Marie Zimmermannová</cp:lastModifiedBy>
  <cp:revision>8</cp:revision>
  <cp:lastPrinted>2018-04-11T13:51:00Z</cp:lastPrinted>
  <dcterms:created xsi:type="dcterms:W3CDTF">2017-03-01T22:10:00Z</dcterms:created>
  <dcterms:modified xsi:type="dcterms:W3CDTF">2020-05-03T06:12:00Z</dcterms:modified>
</cp:coreProperties>
</file>