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6B" w:rsidRDefault="00B31A85">
      <w:pPr>
        <w:pStyle w:val="Nzev"/>
        <w:rPr>
          <w:lang w:val="en-GB"/>
        </w:rPr>
      </w:pPr>
      <w:r>
        <w:rPr>
          <w:lang w:val="en-GB"/>
        </w:rPr>
        <w:t>Policy Preference Map</w:t>
      </w:r>
    </w:p>
    <w:p w:rsidR="0099686B" w:rsidRDefault="00B31A85">
      <w:pPr>
        <w:jc w:val="both"/>
      </w:pPr>
      <w:r>
        <w:rPr>
          <w:b/>
          <w:sz w:val="28"/>
          <w:lang w:val="en-GB"/>
        </w:rPr>
        <w:t>Fill the preference map below for all groups (your expectations of the preferences of the others) and send it to us via email before our meeting on March 2</w:t>
      </w:r>
      <w:r w:rsidR="0036141E">
        <w:rPr>
          <w:b/>
          <w:sz w:val="28"/>
          <w:lang w:val="en-GB"/>
        </w:rPr>
        <w:t>3</w:t>
      </w:r>
      <w:r>
        <w:rPr>
          <w:b/>
          <w:sz w:val="28"/>
          <w:lang w:val="en-GB"/>
        </w:rPr>
        <w:t>. We will not reveal the maps to the other groups till the end of the game.</w:t>
      </w:r>
    </w:p>
    <w:p w:rsidR="0099686B" w:rsidRDefault="00B31A85">
      <w:r>
        <w:rPr>
          <w:lang w:val="en-GB"/>
        </w:rPr>
        <w:t>Main potential outcomes of the negotiations that can be voted:</w:t>
      </w:r>
    </w:p>
    <w:p w:rsidR="0099686B" w:rsidRDefault="0036141E">
      <w:pPr>
        <w:numPr>
          <w:ilvl w:val="2"/>
          <w:numId w:val="1"/>
        </w:numPr>
        <w:spacing w:after="0" w:line="288" w:lineRule="auto"/>
      </w:pPr>
      <w:proofErr w:type="spellStart"/>
      <w:r>
        <w:t>Carbon</w:t>
      </w:r>
      <w:proofErr w:type="spellEnd"/>
      <w:r>
        <w:t xml:space="preserve"> neutrality in 2050,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CO2 </w:t>
      </w:r>
      <w:proofErr w:type="spellStart"/>
      <w:r>
        <w:t>emissions</w:t>
      </w:r>
      <w:proofErr w:type="spellEnd"/>
      <w:r>
        <w:t xml:space="preserve"> by 55% </w:t>
      </w:r>
      <w:proofErr w:type="spellStart"/>
      <w:r>
        <w:t>till</w:t>
      </w:r>
      <w:proofErr w:type="spellEnd"/>
      <w:r>
        <w:t xml:space="preserve"> 2030,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Multiannual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Framework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1% GNI</w:t>
      </w:r>
    </w:p>
    <w:p w:rsidR="0036141E" w:rsidRDefault="0036141E" w:rsidP="0036141E">
      <w:pPr>
        <w:numPr>
          <w:ilvl w:val="2"/>
          <w:numId w:val="1"/>
        </w:numPr>
        <w:spacing w:after="0" w:line="288" w:lineRule="auto"/>
      </w:pPr>
      <w:proofErr w:type="spellStart"/>
      <w:r>
        <w:t>Carbon</w:t>
      </w:r>
      <w:proofErr w:type="spellEnd"/>
      <w:r>
        <w:t xml:space="preserve"> neutrality in 2050,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CO2 </w:t>
      </w:r>
      <w:proofErr w:type="spellStart"/>
      <w:r>
        <w:t>emissions</w:t>
      </w:r>
      <w:proofErr w:type="spellEnd"/>
      <w:r>
        <w:t xml:space="preserve"> by 55% </w:t>
      </w:r>
      <w:proofErr w:type="spellStart"/>
      <w:r>
        <w:t>till</w:t>
      </w:r>
      <w:proofErr w:type="spellEnd"/>
      <w:r>
        <w:t xml:space="preserve"> 2030,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Multiannual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Framework </w:t>
      </w:r>
      <w:proofErr w:type="spellStart"/>
      <w:r>
        <w:t>at</w:t>
      </w:r>
      <w:proofErr w:type="spellEnd"/>
      <w:r>
        <w:t xml:space="preserve"> least</w:t>
      </w:r>
      <w:r>
        <w:t xml:space="preserve"> 1</w:t>
      </w:r>
      <w:r>
        <w:t>.3</w:t>
      </w:r>
      <w:r>
        <w:t>% GNI</w:t>
      </w:r>
      <w:r>
        <w:t xml:space="preserve"> to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</w:t>
      </w:r>
    </w:p>
    <w:p w:rsidR="0099686B" w:rsidRDefault="0036141E">
      <w:pPr>
        <w:numPr>
          <w:ilvl w:val="2"/>
          <w:numId w:val="1"/>
        </w:numPr>
        <w:spacing w:after="0" w:line="288" w:lineRule="auto"/>
      </w:pPr>
      <w:proofErr w:type="spellStart"/>
      <w:r>
        <w:t>Carbon</w:t>
      </w:r>
      <w:proofErr w:type="spellEnd"/>
      <w:r>
        <w:t xml:space="preserve"> neutrality in 2050,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2030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in a „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“, 1.15% GNI budget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OK</w:t>
      </w:r>
    </w:p>
    <w:p w:rsidR="0099686B" w:rsidRDefault="0036141E">
      <w:pPr>
        <w:numPr>
          <w:ilvl w:val="2"/>
          <w:numId w:val="1"/>
        </w:numPr>
        <w:spacing w:after="0" w:line="288" w:lineRule="auto"/>
      </w:pPr>
      <w:proofErr w:type="spellStart"/>
      <w:r>
        <w:t>Carbon</w:t>
      </w:r>
      <w:proofErr w:type="spellEnd"/>
      <w:r>
        <w:t xml:space="preserve"> neutrality </w:t>
      </w:r>
      <w:proofErr w:type="spellStart"/>
      <w:r>
        <w:t>might</w:t>
      </w:r>
      <w:proofErr w:type="spellEnd"/>
      <w:r>
        <w:t xml:space="preserve"> ruin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cohesion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and to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just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fund</w:t>
      </w:r>
      <w:proofErr w:type="spellEnd"/>
      <w:r>
        <w:t>.</w:t>
      </w:r>
    </w:p>
    <w:p w:rsidR="0099686B" w:rsidRDefault="0099686B">
      <w:pPr>
        <w:spacing w:after="0" w:line="288" w:lineRule="auto"/>
      </w:pPr>
    </w:p>
    <w:p w:rsidR="0099686B" w:rsidRDefault="00B31A85">
      <w:pPr>
        <w:spacing w:after="0" w:line="288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</w:t>
      </w:r>
      <w:r>
        <w:t>otential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!</w:t>
      </w:r>
    </w:p>
    <w:p w:rsidR="0099686B" w:rsidRDefault="0099686B">
      <w:pPr>
        <w:spacing w:after="0" w:line="288" w:lineRule="auto"/>
        <w:ind w:left="1080"/>
      </w:pPr>
    </w:p>
    <w:tbl>
      <w:tblPr>
        <w:tblW w:w="90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55"/>
        <w:gridCol w:w="1938"/>
        <w:gridCol w:w="1939"/>
        <w:gridCol w:w="1239"/>
        <w:gridCol w:w="1601"/>
      </w:tblGrid>
      <w:tr w:rsidR="0099686B">
        <w:trPr>
          <w:jc w:val="center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B31A85">
            <w:pPr>
              <w:spacing w:after="0" w:line="276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Groups / Solutions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B31A85">
            <w:pPr>
              <w:spacing w:after="0" w:line="276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B31A85">
            <w:pPr>
              <w:spacing w:after="0" w:line="276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ii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B31A85">
            <w:pPr>
              <w:spacing w:after="0" w:line="276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iii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B31A85">
            <w:pPr>
              <w:spacing w:after="0" w:line="276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iv</w:t>
            </w:r>
          </w:p>
        </w:tc>
      </w:tr>
      <w:tr w:rsidR="0099686B">
        <w:trPr>
          <w:jc w:val="center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36141E">
            <w:pPr>
              <w:spacing w:after="0" w:line="276" w:lineRule="auto"/>
              <w:jc w:val="both"/>
            </w:pPr>
            <w:r>
              <w:rPr>
                <w:lang w:val="en-GB"/>
              </w:rPr>
              <w:t>European Commission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</w:tr>
      <w:tr w:rsidR="0099686B">
        <w:trPr>
          <w:jc w:val="center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36141E">
            <w:pPr>
              <w:spacing w:after="0" w:line="276" w:lineRule="auto"/>
              <w:jc w:val="both"/>
            </w:pPr>
            <w:r>
              <w:rPr>
                <w:lang w:val="en-GB"/>
              </w:rPr>
              <w:t>European Parliament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</w:tr>
      <w:tr w:rsidR="0099686B">
        <w:trPr>
          <w:jc w:val="center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36141E">
            <w:pPr>
              <w:spacing w:after="0" w:line="276" w:lineRule="auto"/>
              <w:jc w:val="both"/>
            </w:pPr>
            <w:proofErr w:type="spellStart"/>
            <w:r>
              <w:t>Germany</w:t>
            </w:r>
            <w:proofErr w:type="spellEnd"/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</w:tr>
      <w:tr w:rsidR="0099686B">
        <w:trPr>
          <w:jc w:val="center"/>
        </w:trPr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36141E">
            <w:pPr>
              <w:spacing w:after="0" w:line="276" w:lineRule="auto"/>
              <w:jc w:val="both"/>
            </w:pPr>
            <w:r>
              <w:rPr>
                <w:lang w:val="en-GB"/>
              </w:rPr>
              <w:t>Sweden</w:t>
            </w:r>
          </w:p>
        </w:tc>
        <w:tc>
          <w:tcPr>
            <w:tcW w:w="1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</w:tr>
      <w:tr w:rsidR="0099686B">
        <w:trPr>
          <w:jc w:val="center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36141E">
            <w:pPr>
              <w:spacing w:after="0" w:line="276" w:lineRule="auto"/>
              <w:jc w:val="both"/>
            </w:pPr>
            <w:r>
              <w:rPr>
                <w:lang w:val="en-GB"/>
              </w:rPr>
              <w:t>Poland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86B" w:rsidRDefault="0099686B">
            <w:pPr>
              <w:spacing w:after="0" w:line="276" w:lineRule="auto"/>
              <w:jc w:val="both"/>
              <w:rPr>
                <w:lang w:val="en-GB"/>
              </w:rPr>
            </w:pPr>
          </w:p>
        </w:tc>
      </w:tr>
    </w:tbl>
    <w:p w:rsidR="0099686B" w:rsidRDefault="0099686B">
      <w:pPr>
        <w:rPr>
          <w:lang w:val="en-GB"/>
        </w:rPr>
      </w:pPr>
    </w:p>
    <w:p w:rsidR="0099686B" w:rsidRDefault="00B31A85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Scale of preferences</w:t>
      </w:r>
    </w:p>
    <w:p w:rsidR="0099686B" w:rsidRDefault="00B31A85">
      <w:pPr>
        <w:jc w:val="center"/>
        <w:rPr>
          <w:lang w:val="en-GB"/>
        </w:rPr>
      </w:pPr>
      <w:r>
        <w:rPr>
          <w:lang w:val="en-GB"/>
        </w:rPr>
        <w:t xml:space="preserve">Most preferred (best) – some preference – neutral – negative preferences – bad scenario </w:t>
      </w:r>
      <w:r>
        <w:rPr>
          <w:lang w:val="en-GB"/>
        </w:rPr>
        <w:t>(worst)</w:t>
      </w:r>
    </w:p>
    <w:p w:rsidR="0099686B" w:rsidRDefault="0099686B">
      <w:pPr>
        <w:rPr>
          <w:lang w:val="en-GB"/>
        </w:rPr>
      </w:pPr>
    </w:p>
    <w:p w:rsidR="0099686B" w:rsidRDefault="0099686B"/>
    <w:sectPr w:rsidR="0099686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7B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F3A09BB"/>
    <w:multiLevelType w:val="multilevel"/>
    <w:tmpl w:val="E1F29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6B"/>
    <w:rsid w:val="0036141E"/>
    <w:rsid w:val="0099686B"/>
    <w:rsid w:val="00B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7B23D6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7B23D6"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Odstavecseseznamem">
    <w:name w:val="List Paragraph"/>
    <w:basedOn w:val="Normln"/>
    <w:qFormat/>
    <w:rsid w:val="007B23D6"/>
    <w:pPr>
      <w:suppressAutoHyphens/>
      <w:spacing w:after="200" w:line="276" w:lineRule="auto"/>
      <w:ind w:left="720"/>
      <w:contextualSpacing/>
      <w:jc w:val="both"/>
    </w:pPr>
    <w:rPr>
      <w:rFonts w:ascii="Calibri" w:eastAsia="Droid Sans Fallback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7B23D6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7B23D6"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Odstavecseseznamem">
    <w:name w:val="List Paragraph"/>
    <w:basedOn w:val="Normln"/>
    <w:qFormat/>
    <w:rsid w:val="007B23D6"/>
    <w:pPr>
      <w:suppressAutoHyphens/>
      <w:spacing w:after="200" w:line="276" w:lineRule="auto"/>
      <w:ind w:left="720"/>
      <w:contextualSpacing/>
      <w:jc w:val="both"/>
    </w:pPr>
    <w:rPr>
      <w:rFonts w:ascii="Calibri" w:eastAsia="Droid Sans Fallback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Paulus</dc:creator>
  <dc:description/>
  <cp:lastModifiedBy>Jaromír Baxa</cp:lastModifiedBy>
  <cp:revision>9</cp:revision>
  <cp:lastPrinted>2017-03-14T08:44:00Z</cp:lastPrinted>
  <dcterms:created xsi:type="dcterms:W3CDTF">2017-03-20T15:15:00Z</dcterms:created>
  <dcterms:modified xsi:type="dcterms:W3CDTF">2020-03-16T14:41:00Z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