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5728" w14:textId="7A1A11B7" w:rsidR="00857275" w:rsidRPr="00857275" w:rsidRDefault="00857275" w:rsidP="00857275">
      <w:pPr>
        <w:rPr>
          <w:rFonts w:asciiTheme="majorBidi" w:hAnsiTheme="majorBidi" w:cstheme="majorBidi"/>
          <w:sz w:val="24"/>
          <w:szCs w:val="24"/>
        </w:rPr>
      </w:pPr>
      <w:r w:rsidRPr="00857275">
        <w:rPr>
          <w:rFonts w:asciiTheme="majorBidi" w:hAnsiTheme="majorBidi" w:cstheme="majorBidi"/>
          <w:sz w:val="24"/>
          <w:szCs w:val="24"/>
        </w:rPr>
        <w:t xml:space="preserve">Naše společnost vznikla v roce 2000. Je ryze 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Č</w:t>
      </w:r>
      <w:r w:rsidRPr="00857275">
        <w:rPr>
          <w:rFonts w:asciiTheme="majorBidi" w:hAnsiTheme="majorBidi" w:cstheme="majorBidi"/>
          <w:sz w:val="24"/>
          <w:szCs w:val="24"/>
        </w:rPr>
        <w:t xml:space="preserve">eskou firmou, působí v celé České 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R</w:t>
      </w:r>
      <w:r w:rsidRPr="00857275">
        <w:rPr>
          <w:rFonts w:asciiTheme="majorBidi" w:hAnsiTheme="majorBidi" w:cstheme="majorBidi"/>
          <w:sz w:val="24"/>
          <w:szCs w:val="24"/>
        </w:rPr>
        <w:t>epublice a jejím hlavním výrobním programem je prodej a montáž oken, dveří, proskle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nn</w:t>
      </w:r>
      <w:r w:rsidRPr="00857275">
        <w:rPr>
          <w:rFonts w:asciiTheme="majorBidi" w:hAnsiTheme="majorBidi" w:cstheme="majorBidi"/>
          <w:sz w:val="24"/>
          <w:szCs w:val="24"/>
        </w:rPr>
        <w:t>ých fasád a zateplovacích syst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e</w:t>
      </w:r>
      <w:r w:rsidRPr="00857275">
        <w:rPr>
          <w:rFonts w:asciiTheme="majorBidi" w:hAnsiTheme="majorBidi" w:cstheme="majorBidi"/>
          <w:sz w:val="24"/>
          <w:szCs w:val="24"/>
        </w:rPr>
        <w:t>mů.  Program Zelená úsporá</w:t>
      </w:r>
      <w:r w:rsidRPr="00B840C8">
        <w:rPr>
          <w:rFonts w:asciiTheme="majorBidi" w:hAnsiTheme="majorBidi" w:cstheme="majorBidi"/>
          <w:sz w:val="24"/>
          <w:szCs w:val="24"/>
        </w:rPr>
        <w:t>m</w:t>
      </w:r>
      <w:r w:rsidRPr="00857275">
        <w:rPr>
          <w:rFonts w:asciiTheme="majorBidi" w:hAnsiTheme="majorBidi" w:cstheme="majorBidi"/>
          <w:sz w:val="24"/>
          <w:szCs w:val="24"/>
        </w:rPr>
        <w:t xml:space="preserve"> </w:t>
      </w:r>
      <w:r w:rsidR="00B840C8">
        <w:rPr>
          <w:rFonts w:asciiTheme="majorBidi" w:hAnsiTheme="majorBidi" w:cstheme="majorBidi"/>
          <w:sz w:val="24"/>
          <w:szCs w:val="24"/>
        </w:rPr>
        <w:t xml:space="preserve">‒ </w:t>
      </w:r>
      <w:r w:rsidRPr="00857275">
        <w:rPr>
          <w:rFonts w:asciiTheme="majorBidi" w:hAnsiTheme="majorBidi" w:cstheme="majorBidi"/>
          <w:sz w:val="24"/>
          <w:szCs w:val="24"/>
        </w:rPr>
        <w:t>vyhlášený ministerstvem životního prostředí</w:t>
      </w:r>
      <w:r w:rsidR="00B840C8">
        <w:rPr>
          <w:rFonts w:asciiTheme="majorBidi" w:hAnsiTheme="majorBidi" w:cstheme="majorBidi"/>
          <w:sz w:val="24"/>
          <w:szCs w:val="24"/>
        </w:rPr>
        <w:t xml:space="preserve"> </w:t>
      </w:r>
      <w:r w:rsidR="00B840C8" w:rsidRPr="00B840C8">
        <w:rPr>
          <w:rFonts w:asciiTheme="majorBidi" w:hAnsiTheme="majorBidi" w:cstheme="majorBidi"/>
          <w:sz w:val="24"/>
          <w:szCs w:val="24"/>
          <w:highlight w:val="green"/>
        </w:rPr>
        <w:t>-</w:t>
      </w:r>
      <w:r w:rsidRPr="00857275">
        <w:rPr>
          <w:rFonts w:asciiTheme="majorBidi" w:hAnsiTheme="majorBidi" w:cstheme="majorBidi"/>
          <w:sz w:val="24"/>
          <w:szCs w:val="24"/>
        </w:rPr>
        <w:t xml:space="preserve"> je v těchto dnech v našem oboru žhavým t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e</w:t>
      </w:r>
      <w:r w:rsidRPr="00857275">
        <w:rPr>
          <w:rFonts w:asciiTheme="majorBidi" w:hAnsiTheme="majorBidi" w:cstheme="majorBidi"/>
          <w:sz w:val="24"/>
          <w:szCs w:val="24"/>
        </w:rPr>
        <w:t xml:space="preserve">matem. Je zacílen na snížení 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z</w:t>
      </w:r>
      <w:r w:rsidRPr="00857275">
        <w:rPr>
          <w:rFonts w:asciiTheme="majorBidi" w:hAnsiTheme="majorBidi" w:cstheme="majorBidi"/>
          <w:sz w:val="24"/>
          <w:szCs w:val="24"/>
        </w:rPr>
        <w:t xml:space="preserve">potřeby energie na vytápění 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vp</w:t>
      </w:r>
      <w:r w:rsidRPr="00857275">
        <w:rPr>
          <w:rFonts w:asciiTheme="majorBidi" w:hAnsiTheme="majorBidi" w:cstheme="majorBidi"/>
          <w:sz w:val="24"/>
          <w:szCs w:val="24"/>
        </w:rPr>
        <w:t>odstatě u všech t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i</w:t>
      </w:r>
      <w:r w:rsidRPr="00857275">
        <w:rPr>
          <w:rFonts w:asciiTheme="majorBidi" w:hAnsiTheme="majorBidi" w:cstheme="majorBidi"/>
          <w:sz w:val="24"/>
          <w:szCs w:val="24"/>
        </w:rPr>
        <w:t xml:space="preserve">pů domů s výjimkou panelových. Po dobu tří let, kdy bude 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P</w:t>
      </w:r>
      <w:r w:rsidRPr="00857275">
        <w:rPr>
          <w:rFonts w:asciiTheme="majorBidi" w:hAnsiTheme="majorBidi" w:cstheme="majorBidi"/>
          <w:sz w:val="24"/>
          <w:szCs w:val="24"/>
        </w:rPr>
        <w:t>rogram otevřen, budou pro zájemce připraveny dotace až do celkové výše 25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-ti</w:t>
      </w:r>
      <w:r w:rsidRPr="00857275">
        <w:rPr>
          <w:rFonts w:asciiTheme="majorBidi" w:hAnsiTheme="majorBidi" w:cstheme="majorBidi"/>
          <w:sz w:val="24"/>
          <w:szCs w:val="24"/>
        </w:rPr>
        <w:t xml:space="preserve"> mi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ll</w:t>
      </w:r>
      <w:r w:rsidRPr="00857275">
        <w:rPr>
          <w:rFonts w:asciiTheme="majorBidi" w:hAnsiTheme="majorBidi" w:cstheme="majorBidi"/>
          <w:sz w:val="24"/>
          <w:szCs w:val="24"/>
        </w:rPr>
        <w:t>iard Kč. Nebude však vždy zcela snadné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,</w:t>
      </w:r>
      <w:r w:rsidRPr="00857275">
        <w:rPr>
          <w:rFonts w:asciiTheme="majorBidi" w:hAnsiTheme="majorBidi" w:cstheme="majorBidi"/>
          <w:sz w:val="24"/>
          <w:szCs w:val="24"/>
        </w:rPr>
        <w:t xml:space="preserve"> na zmíněné dotace dosáhnout, respe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c</w:t>
      </w:r>
      <w:r w:rsidRPr="00857275">
        <w:rPr>
          <w:rFonts w:asciiTheme="majorBidi" w:hAnsiTheme="majorBidi" w:cstheme="majorBidi"/>
          <w:sz w:val="24"/>
          <w:szCs w:val="24"/>
        </w:rPr>
        <w:t>tive opatření, která bude muset žadatel učini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t</w:t>
      </w:r>
      <w:r w:rsidRPr="00857275">
        <w:rPr>
          <w:rFonts w:asciiTheme="majorBidi" w:hAnsiTheme="majorBidi" w:cstheme="majorBidi"/>
          <w:sz w:val="24"/>
          <w:szCs w:val="24"/>
        </w:rPr>
        <w:t xml:space="preserve"> nemusejí být s ohledem na výši získané dotace ekonomicky příznivá. Mimoto je třeba říci, že administrativa projektu je poměrně složitá a žadatel je povi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nn</w:t>
      </w:r>
      <w:r w:rsidRPr="00857275">
        <w:rPr>
          <w:rFonts w:asciiTheme="majorBidi" w:hAnsiTheme="majorBidi" w:cstheme="majorBidi"/>
          <w:sz w:val="24"/>
          <w:szCs w:val="24"/>
        </w:rPr>
        <w:t>en předem detailně doložit při</w:t>
      </w:r>
      <w:r w:rsidRPr="00CF607C">
        <w:rPr>
          <w:rFonts w:asciiTheme="majorBidi" w:hAnsiTheme="majorBidi" w:cstheme="majorBidi"/>
          <w:sz w:val="24"/>
          <w:szCs w:val="24"/>
          <w:highlight w:val="green"/>
        </w:rPr>
        <w:t>m</w:t>
      </w:r>
      <w:r w:rsidR="00CF607C">
        <w:rPr>
          <w:rFonts w:asciiTheme="majorBidi" w:hAnsiTheme="majorBidi" w:cstheme="majorBidi"/>
          <w:sz w:val="24"/>
          <w:szCs w:val="24"/>
          <w:highlight w:val="green"/>
        </w:rPr>
        <w:t>n</w:t>
      </w:r>
      <w:r w:rsidRPr="00CF607C">
        <w:rPr>
          <w:rFonts w:asciiTheme="majorBidi" w:hAnsiTheme="majorBidi" w:cstheme="majorBidi"/>
          <w:sz w:val="24"/>
          <w:szCs w:val="24"/>
          <w:highlight w:val="green"/>
        </w:rPr>
        <w:t>ě</w:t>
      </w:r>
      <w:r w:rsidRPr="00857275">
        <w:rPr>
          <w:rFonts w:asciiTheme="majorBidi" w:hAnsiTheme="majorBidi" w:cstheme="majorBidi"/>
          <w:sz w:val="24"/>
          <w:szCs w:val="24"/>
        </w:rPr>
        <w:t>řenost plánovaných nákladů stavu domu i cenové situaci. Naším krokem je konkrétní nabídka potenciálním žadatelům o dotace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,</w:t>
      </w:r>
      <w:r w:rsidRPr="00857275">
        <w:rPr>
          <w:rFonts w:asciiTheme="majorBidi" w:hAnsiTheme="majorBidi" w:cstheme="majorBidi"/>
          <w:sz w:val="24"/>
          <w:szCs w:val="24"/>
        </w:rPr>
        <w:t xml:space="preserve"> na zpracování komplexní dokumentace, aby byla zřejmá všechna nutná opatření</w:t>
      </w:r>
      <w:r w:rsidRPr="00857275">
        <w:rPr>
          <w:rFonts w:asciiTheme="majorBidi" w:hAnsiTheme="majorBidi" w:cstheme="majorBidi"/>
          <w:sz w:val="24"/>
          <w:szCs w:val="24"/>
          <w:highlight w:val="green"/>
        </w:rPr>
        <w:t>,</w:t>
      </w:r>
      <w:r w:rsidRPr="00857275">
        <w:rPr>
          <w:rFonts w:asciiTheme="majorBidi" w:hAnsiTheme="majorBidi" w:cstheme="majorBidi"/>
          <w:sz w:val="24"/>
          <w:szCs w:val="24"/>
        </w:rPr>
        <w:t xml:space="preserve"> a mohlo dojít k finanční kalkulaci stavebních prací.</w:t>
      </w:r>
    </w:p>
    <w:sectPr w:rsidR="00857275" w:rsidRPr="0085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6735">
    <w:abstractNumId w:val="3"/>
  </w:num>
  <w:num w:numId="2" w16cid:durableId="1326975196">
    <w:abstractNumId w:val="1"/>
  </w:num>
  <w:num w:numId="3" w16cid:durableId="1407534601">
    <w:abstractNumId w:val="2"/>
  </w:num>
  <w:num w:numId="4" w16cid:durableId="1545799033">
    <w:abstractNumId w:val="4"/>
  </w:num>
  <w:num w:numId="5" w16cid:durableId="974406492">
    <w:abstractNumId w:val="0"/>
  </w:num>
  <w:num w:numId="6" w16cid:durableId="1797138157">
    <w:abstractNumId w:val="3"/>
  </w:num>
  <w:num w:numId="7" w16cid:durableId="359552587">
    <w:abstractNumId w:val="1"/>
  </w:num>
  <w:num w:numId="8" w16cid:durableId="1219433192">
    <w:abstractNumId w:val="2"/>
  </w:num>
  <w:num w:numId="9" w16cid:durableId="598947580">
    <w:abstractNumId w:val="4"/>
  </w:num>
  <w:num w:numId="10" w16cid:durableId="1577129008">
    <w:abstractNumId w:val="0"/>
  </w:num>
  <w:num w:numId="11" w16cid:durableId="1577128959">
    <w:abstractNumId w:val="3"/>
  </w:num>
  <w:num w:numId="12" w16cid:durableId="1707826916">
    <w:abstractNumId w:val="1"/>
  </w:num>
  <w:num w:numId="13" w16cid:durableId="203635359">
    <w:abstractNumId w:val="2"/>
  </w:num>
  <w:num w:numId="14" w16cid:durableId="365638432">
    <w:abstractNumId w:val="4"/>
  </w:num>
  <w:num w:numId="15" w16cid:durableId="358701026">
    <w:abstractNumId w:val="0"/>
  </w:num>
  <w:num w:numId="16" w16cid:durableId="409238718">
    <w:abstractNumId w:val="3"/>
  </w:num>
  <w:num w:numId="17" w16cid:durableId="2017347532">
    <w:abstractNumId w:val="1"/>
  </w:num>
  <w:num w:numId="18" w16cid:durableId="36593434">
    <w:abstractNumId w:val="2"/>
  </w:num>
  <w:num w:numId="19" w16cid:durableId="702899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FF"/>
    <w:rsid w:val="00086F87"/>
    <w:rsid w:val="000A2470"/>
    <w:rsid w:val="000B05FF"/>
    <w:rsid w:val="0023200F"/>
    <w:rsid w:val="00323A6D"/>
    <w:rsid w:val="004628BC"/>
    <w:rsid w:val="005206FE"/>
    <w:rsid w:val="005538C7"/>
    <w:rsid w:val="00600CAA"/>
    <w:rsid w:val="006D6C68"/>
    <w:rsid w:val="007A32B8"/>
    <w:rsid w:val="00857275"/>
    <w:rsid w:val="00885CD2"/>
    <w:rsid w:val="00886723"/>
    <w:rsid w:val="008F5CEA"/>
    <w:rsid w:val="00B840C8"/>
    <w:rsid w:val="00CF607C"/>
    <w:rsid w:val="00D16EE9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27CB"/>
  <w15:chartTrackingRefBased/>
  <w15:docId w15:val="{E2B923A7-C7D4-47F3-9DCB-F3CB0571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5F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 w:line="240" w:lineRule="auto"/>
      <w:jc w:val="both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 w:after="120" w:line="240" w:lineRule="auto"/>
      <w:jc w:val="both"/>
      <w:outlineLvl w:val="1"/>
    </w:pPr>
    <w:rPr>
      <w:rFonts w:asciiTheme="minorHAnsi" w:eastAsiaTheme="majorEastAsia" w:hAnsiTheme="min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 w:after="120" w:line="240" w:lineRule="auto"/>
      <w:jc w:val="both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 w:after="120" w:line="240" w:lineRule="auto"/>
      <w:jc w:val="both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 w:after="120" w:line="240" w:lineRule="auto"/>
      <w:jc w:val="both"/>
      <w:outlineLvl w:val="4"/>
    </w:pPr>
    <w:rPr>
      <w:rFonts w:asciiTheme="minorHAnsi" w:eastAsiaTheme="majorEastAsia" w:hAnsiTheme="min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5"/>
    </w:pPr>
    <w:rPr>
      <w:rFonts w:asciiTheme="minorHAnsi" w:eastAsiaTheme="majorEastAsia" w:hAnsiTheme="min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6"/>
    </w:pPr>
    <w:rPr>
      <w:rFonts w:asciiTheme="minorHAnsi" w:eastAsiaTheme="majorEastAsia" w:hAnsiTheme="min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pPr>
      <w:spacing w:before="120" w:after="120" w:line="240" w:lineRule="auto"/>
      <w:jc w:val="both"/>
    </w:pPr>
    <w:rPr>
      <w:rFonts w:asciiTheme="minorHAnsi" w:eastAsiaTheme="minorHAnsi" w:hAnsiTheme="minorHAnsi" w:cs="font29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4</cp:revision>
  <cp:lastPrinted>2021-12-12T23:50:00Z</cp:lastPrinted>
  <dcterms:created xsi:type="dcterms:W3CDTF">2021-12-13T08:10:00Z</dcterms:created>
  <dcterms:modified xsi:type="dcterms:W3CDTF">2023-12-10T17:59:00Z</dcterms:modified>
</cp:coreProperties>
</file>