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6A" w:rsidRDefault="0028262B" w:rsidP="0028262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Žalmy s tématikou posvátné úlohy panovníka</w:t>
      </w:r>
    </w:p>
    <w:p w:rsidR="0028262B" w:rsidRDefault="00C85648" w:rsidP="0028262B">
      <w:pPr>
        <w:jc w:val="both"/>
        <w:rPr>
          <w:sz w:val="24"/>
          <w:szCs w:val="24"/>
        </w:rPr>
      </w:pPr>
      <w:r>
        <w:rPr>
          <w:sz w:val="24"/>
          <w:szCs w:val="24"/>
        </w:rPr>
        <w:t>Žalm 2</w:t>
      </w:r>
    </w:p>
    <w:p w:rsidR="00C85648" w:rsidRDefault="00C85648" w:rsidP="00C8564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Může se jednat o liturgický text, jehož obsah mohl slavnostně pronášet panovník, který nastupoval na trůn po svém předchůdci.</w:t>
      </w:r>
    </w:p>
    <w:p w:rsidR="00C85648" w:rsidRDefault="00C85648" w:rsidP="00C8564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Žalm by mohl být rituálním textem, který souvisí se svátkem tzv. „ Obnovy královské moci “, konané na starověké</w:t>
      </w:r>
      <w:r w:rsidR="009C2EA9">
        <w:rPr>
          <w:sz w:val="24"/>
          <w:szCs w:val="24"/>
        </w:rPr>
        <w:t>m Předním východě. (</w:t>
      </w:r>
      <w:r>
        <w:rPr>
          <w:sz w:val="24"/>
          <w:szCs w:val="24"/>
        </w:rPr>
        <w:t xml:space="preserve">Obdobu nacházíme v intronizačním svátku bohů ve starověkém Egyptě, a to ve slavnosti </w:t>
      </w:r>
      <w:proofErr w:type="spellStart"/>
      <w:r w:rsidRPr="00C85648">
        <w:rPr>
          <w:b/>
          <w:bCs/>
          <w:i/>
          <w:iCs/>
          <w:sz w:val="24"/>
          <w:szCs w:val="24"/>
        </w:rPr>
        <w:t>hb</w:t>
      </w:r>
      <w:proofErr w:type="spellEnd"/>
      <w:r w:rsidRPr="00C8564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85648">
        <w:rPr>
          <w:b/>
          <w:bCs/>
          <w:i/>
          <w:iCs/>
          <w:sz w:val="24"/>
          <w:szCs w:val="24"/>
        </w:rPr>
        <w:t>sd</w:t>
      </w:r>
      <w:proofErr w:type="spellEnd"/>
      <w:r w:rsidR="00387572">
        <w:rPr>
          <w:sz w:val="24"/>
          <w:szCs w:val="24"/>
        </w:rPr>
        <w:t>.)</w:t>
      </w:r>
    </w:p>
    <w:p w:rsidR="009C2EA9" w:rsidRDefault="00CA37B3" w:rsidP="00C8564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Obvyklé jsou i komparace s levantským mýtickým pozadím. Text lze srovnávat s </w:t>
      </w:r>
      <w:proofErr w:type="spellStart"/>
      <w:r>
        <w:rPr>
          <w:sz w:val="24"/>
          <w:szCs w:val="24"/>
        </w:rPr>
        <w:t>tématickým</w:t>
      </w:r>
      <w:proofErr w:type="spellEnd"/>
      <w:r>
        <w:rPr>
          <w:sz w:val="24"/>
          <w:szCs w:val="24"/>
        </w:rPr>
        <w:t xml:space="preserve"> obsahem </w:t>
      </w:r>
      <w:proofErr w:type="spellStart"/>
      <w:r>
        <w:rPr>
          <w:sz w:val="24"/>
          <w:szCs w:val="24"/>
        </w:rPr>
        <w:t>ugaritského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Ba‘alovského</w:t>
      </w:r>
      <w:proofErr w:type="spellEnd"/>
      <w:r>
        <w:rPr>
          <w:sz w:val="24"/>
          <w:szCs w:val="24"/>
        </w:rPr>
        <w:t xml:space="preserve"> </w:t>
      </w:r>
      <w:r w:rsidR="00AE48D2">
        <w:rPr>
          <w:sz w:val="24"/>
          <w:szCs w:val="24"/>
        </w:rPr>
        <w:t>cyklu</w:t>
      </w:r>
      <w:r>
        <w:rPr>
          <w:sz w:val="24"/>
          <w:szCs w:val="24"/>
        </w:rPr>
        <w:t xml:space="preserve">, konkrétně se soubojem bohů </w:t>
      </w:r>
      <w:proofErr w:type="spellStart"/>
      <w:r>
        <w:rPr>
          <w:sz w:val="24"/>
          <w:szCs w:val="24"/>
        </w:rPr>
        <w:t>Ba‘alem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Mótem</w:t>
      </w:r>
      <w:proofErr w:type="spellEnd"/>
      <w:r>
        <w:rPr>
          <w:sz w:val="24"/>
          <w:szCs w:val="24"/>
        </w:rPr>
        <w:t xml:space="preserve">. </w:t>
      </w:r>
    </w:p>
    <w:p w:rsidR="007505ED" w:rsidRDefault="007505ED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Určité úseky žalmu mohl recitovat sám král. Na pozadí textu by se</w:t>
      </w:r>
      <w:r w:rsidR="00B73E29">
        <w:rPr>
          <w:sz w:val="24"/>
          <w:szCs w:val="24"/>
        </w:rPr>
        <w:t xml:space="preserve"> pak</w:t>
      </w:r>
      <w:r>
        <w:rPr>
          <w:sz w:val="24"/>
          <w:szCs w:val="24"/>
        </w:rPr>
        <w:t xml:space="preserve"> odrážel kosmogonický mýtus, který</w:t>
      </w:r>
      <w:r w:rsidR="00B73E29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popisoval beznadějnou situaci odpůrců božského krále a jeho vyvoleného služebníka. </w:t>
      </w:r>
      <w:r w:rsidR="00AE48D2">
        <w:rPr>
          <w:sz w:val="24"/>
          <w:szCs w:val="24"/>
        </w:rPr>
        <w:t xml:space="preserve">Důležitá je také zmínka o posvátné hoře, na které přebývá bůh Jahve/Hospodin, patron davidovské královské dynastie. </w:t>
      </w:r>
    </w:p>
    <w:p w:rsidR="0012302D" w:rsidRDefault="0012302D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Následující text pak můžeme číst a vykládat jako Hospodinovo orákulum.</w:t>
      </w:r>
    </w:p>
    <w:p w:rsidR="0012302D" w:rsidRDefault="0012302D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Jedná se o úsek žalmu 2, 7-9, který můžeme přeložit následovně: </w:t>
      </w:r>
    </w:p>
    <w:p w:rsidR="0012302D" w:rsidRDefault="0012302D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„ Budu vyprávět o Hospodinově usnesení:</w:t>
      </w:r>
    </w:p>
    <w:p w:rsidR="0012302D" w:rsidRDefault="0012302D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Řekl mi: “ </w:t>
      </w:r>
      <w:r w:rsidRPr="0012302D">
        <w:rPr>
          <w:b/>
          <w:bCs/>
          <w:i/>
          <w:iCs/>
          <w:sz w:val="24"/>
          <w:szCs w:val="24"/>
        </w:rPr>
        <w:t>Syn můj jsi ty, já jsem tě dnes zplodil.</w:t>
      </w:r>
      <w:r>
        <w:rPr>
          <w:i/>
          <w:iCs/>
          <w:sz w:val="24"/>
          <w:szCs w:val="24"/>
        </w:rPr>
        <w:t xml:space="preserve"> </w:t>
      </w:r>
    </w:p>
    <w:p w:rsidR="0012302D" w:rsidRDefault="0012302D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Přej si ode mne a dám národy tobě za dědictví,</w:t>
      </w:r>
    </w:p>
    <w:p w:rsidR="0012302D" w:rsidRDefault="0012302D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do vlastnictví končiny země.</w:t>
      </w:r>
    </w:p>
    <w:p w:rsidR="0012302D" w:rsidRDefault="0012302D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Budeš burácet železnou berlou,</w:t>
      </w:r>
    </w:p>
    <w:p w:rsidR="0012302D" w:rsidRDefault="0012302D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Jako nádobu zhnětenou je budeš rozbíjet:“</w:t>
      </w:r>
    </w:p>
    <w:p w:rsidR="00AB71EC" w:rsidRDefault="00767531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je v původním textu označeno výrazem </w:t>
      </w:r>
      <w:r w:rsidR="006A5ADC">
        <w:rPr>
          <w:b/>
          <w:bCs/>
          <w:i/>
          <w:iCs/>
          <w:sz w:val="24"/>
          <w:szCs w:val="24"/>
        </w:rPr>
        <w:t>„</w:t>
      </w:r>
      <w:proofErr w:type="spellStart"/>
      <w:r w:rsidR="006A5ADC">
        <w:rPr>
          <w:b/>
          <w:bCs/>
          <w:i/>
          <w:iCs/>
          <w:sz w:val="24"/>
          <w:szCs w:val="24"/>
        </w:rPr>
        <w:t>ch</w:t>
      </w:r>
      <w:r w:rsidRPr="00767531">
        <w:rPr>
          <w:b/>
          <w:bCs/>
          <w:i/>
          <w:iCs/>
          <w:sz w:val="24"/>
          <w:szCs w:val="24"/>
        </w:rPr>
        <w:t>oq</w:t>
      </w:r>
      <w:proofErr w:type="spellEnd"/>
      <w:r w:rsidRPr="00767531">
        <w:rPr>
          <w:b/>
          <w:bCs/>
          <w:i/>
          <w:iCs/>
          <w:sz w:val="24"/>
          <w:szCs w:val="24"/>
        </w:rPr>
        <w:t>“</w:t>
      </w:r>
      <w:r>
        <w:rPr>
          <w:sz w:val="24"/>
          <w:szCs w:val="24"/>
        </w:rPr>
        <w:t>, jež představuje adopční formuli, která je v tomto posvátném text</w:t>
      </w:r>
      <w:r w:rsidR="008429B7">
        <w:rPr>
          <w:sz w:val="24"/>
          <w:szCs w:val="24"/>
        </w:rPr>
        <w:t xml:space="preserve">u aplikována na královské právo. Božské usnesení potvrzuje pravověrnost panovníka, jenž pochází z davidovské linie. Vyjádření </w:t>
      </w:r>
      <w:proofErr w:type="spellStart"/>
      <w:r w:rsidR="008429B7">
        <w:rPr>
          <w:b/>
          <w:bCs/>
          <w:i/>
          <w:iCs/>
          <w:sz w:val="24"/>
          <w:szCs w:val="24"/>
        </w:rPr>
        <w:t>b</w:t>
      </w:r>
      <w:r w:rsidR="008429B7">
        <w:rPr>
          <w:b/>
          <w:bCs/>
          <w:i/>
          <w:iCs/>
          <w:sz w:val="24"/>
          <w:szCs w:val="24"/>
          <w:vertAlign w:val="superscript"/>
        </w:rPr>
        <w:t>e</w:t>
      </w:r>
      <w:r w:rsidR="008429B7">
        <w:rPr>
          <w:b/>
          <w:bCs/>
          <w:i/>
          <w:iCs/>
          <w:sz w:val="24"/>
          <w:szCs w:val="24"/>
        </w:rPr>
        <w:t>ni</w:t>
      </w:r>
      <w:proofErr w:type="spellEnd"/>
      <w:r w:rsidR="008429B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429B7">
        <w:rPr>
          <w:b/>
          <w:bCs/>
          <w:i/>
          <w:iCs/>
          <w:sz w:val="24"/>
          <w:szCs w:val="24"/>
        </w:rPr>
        <w:t>atta</w:t>
      </w:r>
      <w:proofErr w:type="spellEnd"/>
      <w:r w:rsidR="008429B7">
        <w:rPr>
          <w:b/>
          <w:bCs/>
          <w:i/>
          <w:iCs/>
          <w:sz w:val="24"/>
          <w:szCs w:val="24"/>
        </w:rPr>
        <w:t xml:space="preserve"> </w:t>
      </w:r>
      <w:r w:rsidR="008429B7">
        <w:rPr>
          <w:sz w:val="24"/>
          <w:szCs w:val="24"/>
        </w:rPr>
        <w:t xml:space="preserve">opětně poukazuje na </w:t>
      </w:r>
      <w:r w:rsidR="003F7677">
        <w:rPr>
          <w:sz w:val="24"/>
          <w:szCs w:val="24"/>
        </w:rPr>
        <w:t xml:space="preserve">výjimečný vztah pozemského krále k božskému panovníku Hospodinu. </w:t>
      </w:r>
    </w:p>
    <w:p w:rsidR="00767531" w:rsidRDefault="003F7677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tohoto výroku se v podstatě nabízí dva možné výklady. Zvolání </w:t>
      </w:r>
      <w:proofErr w:type="spellStart"/>
      <w:r>
        <w:rPr>
          <w:b/>
          <w:bCs/>
          <w:i/>
          <w:iCs/>
          <w:sz w:val="24"/>
          <w:szCs w:val="24"/>
        </w:rPr>
        <w:t>b</w:t>
      </w:r>
      <w:r>
        <w:rPr>
          <w:b/>
          <w:bCs/>
          <w:i/>
          <w:iCs/>
          <w:sz w:val="24"/>
          <w:szCs w:val="24"/>
          <w:vertAlign w:val="superscript"/>
        </w:rPr>
        <w:t>e</w:t>
      </w:r>
      <w:r>
        <w:rPr>
          <w:b/>
          <w:bCs/>
          <w:i/>
          <w:iCs/>
          <w:sz w:val="24"/>
          <w:szCs w:val="24"/>
        </w:rPr>
        <w:t>ni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atta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se vztahuje na jakéhokoliv panovníka z davidovského domu, z linie rodu spjatého s Davidovým jménem. Pak by</w:t>
      </w:r>
      <w:r w:rsidR="00AB71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tato formule hrála patrně významnou roli v královském </w:t>
      </w:r>
      <w:proofErr w:type="spellStart"/>
      <w:r>
        <w:rPr>
          <w:sz w:val="24"/>
          <w:szCs w:val="24"/>
        </w:rPr>
        <w:t>si</w:t>
      </w:r>
      <w:r w:rsidR="00812690">
        <w:rPr>
          <w:sz w:val="24"/>
          <w:szCs w:val="24"/>
        </w:rPr>
        <w:t>j</w:t>
      </w:r>
      <w:r>
        <w:rPr>
          <w:sz w:val="24"/>
          <w:szCs w:val="24"/>
        </w:rPr>
        <w:t>ónském</w:t>
      </w:r>
      <w:proofErr w:type="spellEnd"/>
      <w:r>
        <w:rPr>
          <w:sz w:val="24"/>
          <w:szCs w:val="24"/>
        </w:rPr>
        <w:t xml:space="preserve"> svátku, či dokonce při Novoroční slavnosti, o jejíž podobě však </w:t>
      </w:r>
      <w:r w:rsidR="00E575C2">
        <w:rPr>
          <w:sz w:val="24"/>
          <w:szCs w:val="24"/>
        </w:rPr>
        <w:t>nemáme bližší informace.</w:t>
      </w:r>
    </w:p>
    <w:p w:rsidR="00AB71EC" w:rsidRDefault="00AB71EC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Druhý typ výkladu se vztahuje k ideálnímu davidovskému králi, který postupně získal rysy Hospodinova služebníka. </w:t>
      </w:r>
    </w:p>
    <w:p w:rsidR="002A04AD" w:rsidRDefault="000778E6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Také v následujícím verši můžeme pozorovat přímou paralelu s </w:t>
      </w:r>
      <w:proofErr w:type="spellStart"/>
      <w:r>
        <w:rPr>
          <w:sz w:val="24"/>
          <w:szCs w:val="24"/>
        </w:rPr>
        <w:t>ugaritským</w:t>
      </w:r>
      <w:proofErr w:type="spellEnd"/>
      <w:r>
        <w:rPr>
          <w:sz w:val="24"/>
          <w:szCs w:val="24"/>
        </w:rPr>
        <w:t xml:space="preserve"> rituálním textem. </w:t>
      </w:r>
      <w:r w:rsidR="00504C22">
        <w:rPr>
          <w:sz w:val="24"/>
          <w:szCs w:val="24"/>
        </w:rPr>
        <w:t xml:space="preserve">V překladu zní úsek žalmu 2, 12 následovně: </w:t>
      </w:r>
    </w:p>
    <w:p w:rsidR="002A04AD" w:rsidRDefault="00504C22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„ </w:t>
      </w:r>
      <w:r w:rsidR="002A04AD">
        <w:rPr>
          <w:i/>
          <w:iCs/>
          <w:sz w:val="24"/>
          <w:szCs w:val="24"/>
        </w:rPr>
        <w:t>Líbejte čistého, jen ať se nerozhněvá, a nezhynete na cestě,</w:t>
      </w:r>
    </w:p>
    <w:p w:rsidR="002A04AD" w:rsidRDefault="002A04AD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Jestliže vzplane jen málo svým hněvem.</w:t>
      </w:r>
    </w:p>
    <w:p w:rsidR="002A04AD" w:rsidRDefault="002A04AD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Blaze těm, kteří k němu utíkají.“</w:t>
      </w:r>
    </w:p>
    <w:p w:rsidR="000778E6" w:rsidRDefault="008A3D10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Slovní spojení </w:t>
      </w:r>
      <w:r>
        <w:rPr>
          <w:i/>
          <w:iCs/>
          <w:sz w:val="24"/>
          <w:szCs w:val="24"/>
        </w:rPr>
        <w:t>„</w:t>
      </w:r>
      <w:proofErr w:type="spellStart"/>
      <w:r>
        <w:rPr>
          <w:b/>
          <w:bCs/>
          <w:i/>
          <w:iCs/>
          <w:sz w:val="24"/>
          <w:szCs w:val="24"/>
        </w:rPr>
        <w:t>našqu</w:t>
      </w:r>
      <w:proofErr w:type="spellEnd"/>
      <w:r>
        <w:rPr>
          <w:b/>
          <w:bCs/>
          <w:i/>
          <w:iCs/>
          <w:sz w:val="24"/>
          <w:szCs w:val="24"/>
        </w:rPr>
        <w:t xml:space="preserve"> var</w:t>
      </w:r>
      <w:r>
        <w:rPr>
          <w:i/>
          <w:iCs/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„líbejte čistého“</w:t>
      </w:r>
      <w:r>
        <w:rPr>
          <w:sz w:val="24"/>
          <w:szCs w:val="24"/>
        </w:rPr>
        <w:t>, a to zejména v souvislosti se sakrální královskou ideologií může poukazovat na dvě exegetické linie. Obě pracují s </w:t>
      </w:r>
      <w:proofErr w:type="spellStart"/>
      <w:r>
        <w:rPr>
          <w:sz w:val="24"/>
          <w:szCs w:val="24"/>
        </w:rPr>
        <w:t>ugaritským</w:t>
      </w:r>
      <w:proofErr w:type="spellEnd"/>
      <w:r>
        <w:rPr>
          <w:sz w:val="24"/>
          <w:szCs w:val="24"/>
        </w:rPr>
        <w:t xml:space="preserve"> lexémem </w:t>
      </w:r>
      <w:r>
        <w:rPr>
          <w:b/>
          <w:bCs/>
          <w:i/>
          <w:iCs/>
          <w:sz w:val="24"/>
          <w:szCs w:val="24"/>
        </w:rPr>
        <w:t>brr</w:t>
      </w:r>
      <w:r>
        <w:rPr>
          <w:sz w:val="24"/>
          <w:szCs w:val="24"/>
        </w:rPr>
        <w:t xml:space="preserve">, který je etymologicky spjatý se slovy </w:t>
      </w:r>
      <w:r w:rsidRPr="008A3D10">
        <w:rPr>
          <w:sz w:val="24"/>
          <w:szCs w:val="24"/>
        </w:rPr>
        <w:t>bar/</w:t>
      </w:r>
      <w:proofErr w:type="spellStart"/>
      <w:r w:rsidRPr="008A3D10">
        <w:rPr>
          <w:sz w:val="24"/>
          <w:szCs w:val="24"/>
        </w:rPr>
        <w:t>bárur</w:t>
      </w:r>
      <w:proofErr w:type="spellEnd"/>
      <w:r>
        <w:rPr>
          <w:sz w:val="24"/>
          <w:szCs w:val="24"/>
        </w:rPr>
        <w:t xml:space="preserve">, což se překládá jako čistý nebo vytříbený. </w:t>
      </w:r>
      <w:r w:rsidR="000D1108">
        <w:rPr>
          <w:sz w:val="24"/>
          <w:szCs w:val="24"/>
        </w:rPr>
        <w:t xml:space="preserve">Tím by se potvrzovala rituální čistota panovníka. Může se však jednat i o paralelu k božskému determinativu </w:t>
      </w:r>
      <w:proofErr w:type="spellStart"/>
      <w:r w:rsidR="000D1108" w:rsidRPr="000D1108">
        <w:rPr>
          <w:b/>
          <w:bCs/>
          <w:i/>
          <w:iCs/>
          <w:sz w:val="24"/>
          <w:szCs w:val="24"/>
        </w:rPr>
        <w:t>il</w:t>
      </w:r>
      <w:proofErr w:type="spellEnd"/>
      <w:r w:rsidR="000D1108">
        <w:rPr>
          <w:sz w:val="24"/>
          <w:szCs w:val="24"/>
        </w:rPr>
        <w:t>, který byl dosvědčen v rituálních textech z </w:t>
      </w:r>
      <w:proofErr w:type="spellStart"/>
      <w:r w:rsidR="000D1108">
        <w:rPr>
          <w:sz w:val="24"/>
          <w:szCs w:val="24"/>
        </w:rPr>
        <w:t>Ugaritu</w:t>
      </w:r>
      <w:proofErr w:type="spellEnd"/>
      <w:r w:rsidR="000D1108">
        <w:rPr>
          <w:sz w:val="24"/>
          <w:szCs w:val="24"/>
        </w:rPr>
        <w:t xml:space="preserve">. </w:t>
      </w:r>
      <w:r w:rsidR="00820D66">
        <w:rPr>
          <w:sz w:val="24"/>
          <w:szCs w:val="24"/>
        </w:rPr>
        <w:t xml:space="preserve">Pojem </w:t>
      </w:r>
      <w:proofErr w:type="spellStart"/>
      <w:r w:rsidR="00820D66" w:rsidRPr="00820D66">
        <w:rPr>
          <w:i/>
          <w:iCs/>
          <w:sz w:val="24"/>
          <w:szCs w:val="24"/>
        </w:rPr>
        <w:t>barur</w:t>
      </w:r>
      <w:proofErr w:type="spellEnd"/>
      <w:r w:rsidR="00820D66">
        <w:rPr>
          <w:sz w:val="24"/>
          <w:szCs w:val="24"/>
        </w:rPr>
        <w:t xml:space="preserve"> by znamenal synonymum pro výraz </w:t>
      </w:r>
      <w:proofErr w:type="spellStart"/>
      <w:r w:rsidR="00820D66" w:rsidRPr="00820D66">
        <w:rPr>
          <w:i/>
          <w:iCs/>
          <w:sz w:val="24"/>
          <w:szCs w:val="24"/>
        </w:rPr>
        <w:t>il</w:t>
      </w:r>
      <w:proofErr w:type="spellEnd"/>
      <w:r w:rsidR="00820D66">
        <w:rPr>
          <w:sz w:val="24"/>
          <w:szCs w:val="24"/>
        </w:rPr>
        <w:t xml:space="preserve">, tedy „božský“. </w:t>
      </w:r>
    </w:p>
    <w:p w:rsidR="00820D66" w:rsidRPr="000D1108" w:rsidRDefault="00182BC6" w:rsidP="007505ED">
      <w:pPr>
        <w:ind w:left="360"/>
        <w:jc w:val="both"/>
        <w:rPr>
          <w:sz w:val="24"/>
          <w:szCs w:val="24"/>
        </w:rPr>
      </w:pPr>
      <w:r w:rsidRPr="00182BC6">
        <w:rPr>
          <w:noProof/>
          <w:sz w:val="24"/>
          <w:szCs w:val="24"/>
          <w:lang w:eastAsia="cs-CZ"/>
        </w:rPr>
        <w:drawing>
          <wp:inline distT="0" distB="0" distL="0" distR="0">
            <wp:extent cx="1800000" cy="2710800"/>
            <wp:effectExtent l="0" t="0" r="0" b="0"/>
            <wp:docPr id="1" name="Obrázek 1" descr="C:\Users\uzivatel\Desktop\Antropomorfismy 2017 Milan Pavýza Lanpa\Abrahamova cesta\Abraham má zabít svého sy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Antropomorfismy 2017 Milan Pavýza Lanpa\Abrahamova cesta\Abraham má zabít svého sy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7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1EC" w:rsidRDefault="0035570E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Žalm 18</w:t>
      </w:r>
    </w:p>
    <w:p w:rsidR="0035570E" w:rsidRDefault="0035570E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Je celkem zřejmé, že jedna z nejstarších vrstev tohoto žalmu nese staré levantské prvky s tématikou západosemitských mýtů. Jahve/Hospodin zde vystupuje v roli atmosférického a geosférického boha, přicházejícího v bouři a zemětřesení. Podobnost s aspekty a mýtickým popisem</w:t>
      </w:r>
      <w:r w:rsidR="00106D1A">
        <w:rPr>
          <w:sz w:val="24"/>
          <w:szCs w:val="24"/>
        </w:rPr>
        <w:t xml:space="preserve"> zjevení</w:t>
      </w:r>
      <w:r>
        <w:rPr>
          <w:sz w:val="24"/>
          <w:szCs w:val="24"/>
        </w:rPr>
        <w:t xml:space="preserve"> levantského boha </w:t>
      </w:r>
      <w:proofErr w:type="spellStart"/>
      <w:r>
        <w:rPr>
          <w:sz w:val="24"/>
          <w:szCs w:val="24"/>
        </w:rPr>
        <w:t>Ba</w:t>
      </w:r>
      <w:r w:rsidR="00106D1A">
        <w:rPr>
          <w:sz w:val="24"/>
          <w:szCs w:val="24"/>
        </w:rPr>
        <w:t>‘</w:t>
      </w:r>
      <w:r>
        <w:rPr>
          <w:sz w:val="24"/>
          <w:szCs w:val="24"/>
        </w:rPr>
        <w:t>ala</w:t>
      </w:r>
      <w:proofErr w:type="spellEnd"/>
      <w:r>
        <w:rPr>
          <w:sz w:val="24"/>
          <w:szCs w:val="24"/>
        </w:rPr>
        <w:t xml:space="preserve"> je zde nasnadě. </w:t>
      </w:r>
    </w:p>
    <w:p w:rsidR="00CE51F8" w:rsidRDefault="00CE51F8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Mnoho badatelů považuje žalm za </w:t>
      </w:r>
      <w:r w:rsidRPr="00CE51F8">
        <w:rPr>
          <w:i/>
          <w:iCs/>
          <w:sz w:val="24"/>
          <w:szCs w:val="24"/>
        </w:rPr>
        <w:t>„Královskou děkovnou píseň“</w:t>
      </w:r>
      <w:r>
        <w:rPr>
          <w:sz w:val="24"/>
          <w:szCs w:val="24"/>
        </w:rPr>
        <w:t xml:space="preserve">. Je však poněkud diskutabilní, zda byl tento chvalozpěv na boha Zachránce, konkrétně Hospodina, zařazen do rámce oslav, navazujících na konkrétní historické vítězství krále (srov. 2S 22), nebo fungoval jako rituální výpověď, </w:t>
      </w:r>
      <w:r w:rsidR="00F9305E">
        <w:rPr>
          <w:sz w:val="24"/>
          <w:szCs w:val="24"/>
        </w:rPr>
        <w:t>vtělená</w:t>
      </w:r>
      <w:r w:rsidR="00421C7C">
        <w:rPr>
          <w:sz w:val="24"/>
          <w:szCs w:val="24"/>
        </w:rPr>
        <w:t xml:space="preserve"> do Hospodinova intronizačního svátku, či královské výroční slavnosti. </w:t>
      </w:r>
    </w:p>
    <w:p w:rsidR="002D1F57" w:rsidRDefault="00DE4015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 w:rsidR="00E61B6A">
        <w:rPr>
          <w:sz w:val="24"/>
          <w:szCs w:val="24"/>
        </w:rPr>
        <w:t> 7. verši žalmu</w:t>
      </w:r>
      <w:r>
        <w:rPr>
          <w:sz w:val="24"/>
          <w:szCs w:val="24"/>
        </w:rPr>
        <w:t xml:space="preserve"> je</w:t>
      </w:r>
      <w:r w:rsidR="00E61B6A">
        <w:rPr>
          <w:sz w:val="24"/>
          <w:szCs w:val="24"/>
        </w:rPr>
        <w:t xml:space="preserve"> popisován vztah Hospodina krále</w:t>
      </w:r>
      <w:r w:rsidR="00E61B6A">
        <w:rPr>
          <w:rStyle w:val="Znakapoznpodarou"/>
          <w:sz w:val="24"/>
          <w:szCs w:val="24"/>
        </w:rPr>
        <w:footnoteReference w:id="1"/>
      </w:r>
      <w:r>
        <w:rPr>
          <w:sz w:val="24"/>
          <w:szCs w:val="24"/>
        </w:rPr>
        <w:t xml:space="preserve"> a</w:t>
      </w:r>
      <w:r w:rsidR="00141FE5">
        <w:rPr>
          <w:sz w:val="24"/>
          <w:szCs w:val="24"/>
        </w:rPr>
        <w:t xml:space="preserve"> pozemského</w:t>
      </w:r>
      <w:r w:rsidR="00E61B6A">
        <w:rPr>
          <w:sz w:val="24"/>
          <w:szCs w:val="24"/>
        </w:rPr>
        <w:t xml:space="preserve"> </w:t>
      </w:r>
      <w:r w:rsidR="00141FE5">
        <w:rPr>
          <w:sz w:val="24"/>
          <w:szCs w:val="24"/>
        </w:rPr>
        <w:t>panovníkova k posvátnému místu, jmenovitě chrámu. V</w:t>
      </w:r>
      <w:r>
        <w:rPr>
          <w:sz w:val="24"/>
          <w:szCs w:val="24"/>
        </w:rPr>
        <w:t> textu se totiž</w:t>
      </w:r>
      <w:r w:rsidR="00141FE5">
        <w:rPr>
          <w:sz w:val="24"/>
          <w:szCs w:val="24"/>
        </w:rPr>
        <w:t xml:space="preserve"> setkáme s</w:t>
      </w:r>
      <w:r>
        <w:rPr>
          <w:sz w:val="24"/>
          <w:szCs w:val="24"/>
        </w:rPr>
        <w:t> ústředním kultickým</w:t>
      </w:r>
      <w:r w:rsidR="00141FE5">
        <w:rPr>
          <w:sz w:val="24"/>
          <w:szCs w:val="24"/>
        </w:rPr>
        <w:t xml:space="preserve"> pojmem </w:t>
      </w:r>
      <w:proofErr w:type="spellStart"/>
      <w:r w:rsidR="00141FE5" w:rsidRPr="00141FE5">
        <w:rPr>
          <w:b/>
          <w:bCs/>
          <w:i/>
          <w:iCs/>
          <w:sz w:val="24"/>
          <w:szCs w:val="24"/>
        </w:rPr>
        <w:t>héchal</w:t>
      </w:r>
      <w:proofErr w:type="spellEnd"/>
      <w:r w:rsidR="006C7E3E">
        <w:rPr>
          <w:sz w:val="24"/>
          <w:szCs w:val="24"/>
        </w:rPr>
        <w:t xml:space="preserve"> </w:t>
      </w:r>
      <w:r w:rsidR="00141FE5">
        <w:rPr>
          <w:sz w:val="24"/>
          <w:szCs w:val="24"/>
        </w:rPr>
        <w:t xml:space="preserve"> </w:t>
      </w:r>
      <w:r w:rsidR="00141FE5" w:rsidRPr="00141FE5">
        <w:rPr>
          <w:i/>
          <w:iCs/>
          <w:sz w:val="24"/>
          <w:szCs w:val="24"/>
        </w:rPr>
        <w:t>„chrám“</w:t>
      </w:r>
      <w:r w:rsidR="00141FE5">
        <w:rPr>
          <w:sz w:val="24"/>
          <w:szCs w:val="24"/>
        </w:rPr>
        <w:t xml:space="preserve">. </w:t>
      </w:r>
      <w:r w:rsidR="00D21018">
        <w:rPr>
          <w:sz w:val="24"/>
          <w:szCs w:val="24"/>
        </w:rPr>
        <w:t xml:space="preserve">Dobové pozadí a literární výpověď se tedy může vztahovat ke kultu, probíhajícímu v jeruzalémském chrámu. </w:t>
      </w:r>
      <w:r>
        <w:rPr>
          <w:sz w:val="24"/>
          <w:szCs w:val="24"/>
        </w:rPr>
        <w:t xml:space="preserve">V tomto smyslu by se jednalo o královskou </w:t>
      </w:r>
      <w:proofErr w:type="spellStart"/>
      <w:r>
        <w:rPr>
          <w:sz w:val="24"/>
          <w:szCs w:val="24"/>
        </w:rPr>
        <w:t>sijónskou</w:t>
      </w:r>
      <w:proofErr w:type="spellEnd"/>
      <w:r>
        <w:rPr>
          <w:sz w:val="24"/>
          <w:szCs w:val="24"/>
        </w:rPr>
        <w:t xml:space="preserve"> slavnost, která vyzdvihovala panovníkovo sepětí s posvátnou horou, kde byl podle Hospodinových instrukcí v minulosti vystaven pevný stánek. </w:t>
      </w:r>
    </w:p>
    <w:p w:rsidR="00E61B6A" w:rsidRDefault="000C7370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Kromě různorodých </w:t>
      </w:r>
      <w:proofErr w:type="spellStart"/>
      <w:r>
        <w:rPr>
          <w:sz w:val="24"/>
          <w:szCs w:val="24"/>
        </w:rPr>
        <w:t>meteroo</w:t>
      </w:r>
      <w:r w:rsidR="002D1F57">
        <w:rPr>
          <w:sz w:val="24"/>
          <w:szCs w:val="24"/>
        </w:rPr>
        <w:t>logických</w:t>
      </w:r>
      <w:proofErr w:type="spellEnd"/>
      <w:r w:rsidR="002D1F57">
        <w:rPr>
          <w:sz w:val="24"/>
          <w:szCs w:val="24"/>
        </w:rPr>
        <w:t xml:space="preserve"> teofanií je hodna pozornosti tématika ohrožení a smrti, vyjádřená mýtickými </w:t>
      </w:r>
      <w:proofErr w:type="spellStart"/>
      <w:r w:rsidR="002D1F57">
        <w:rPr>
          <w:sz w:val="24"/>
          <w:szCs w:val="24"/>
        </w:rPr>
        <w:t>výpovědmi</w:t>
      </w:r>
      <w:proofErr w:type="spellEnd"/>
      <w:r w:rsidR="002D1F57">
        <w:rPr>
          <w:sz w:val="24"/>
          <w:szCs w:val="24"/>
        </w:rPr>
        <w:t xml:space="preserve">, podobajícími se </w:t>
      </w:r>
      <w:proofErr w:type="spellStart"/>
      <w:r w:rsidR="002D1F57">
        <w:rPr>
          <w:sz w:val="24"/>
          <w:szCs w:val="24"/>
        </w:rPr>
        <w:t>ugaritskému</w:t>
      </w:r>
      <w:proofErr w:type="spellEnd"/>
      <w:r w:rsidR="002D1F57">
        <w:rPr>
          <w:sz w:val="24"/>
          <w:szCs w:val="24"/>
        </w:rPr>
        <w:t xml:space="preserve"> </w:t>
      </w:r>
      <w:proofErr w:type="spellStart"/>
      <w:r w:rsidR="002D1F57">
        <w:rPr>
          <w:sz w:val="24"/>
          <w:szCs w:val="24"/>
        </w:rPr>
        <w:t>Ba‘alovskému</w:t>
      </w:r>
      <w:proofErr w:type="spellEnd"/>
      <w:r w:rsidR="002D1F57">
        <w:rPr>
          <w:sz w:val="24"/>
          <w:szCs w:val="24"/>
        </w:rPr>
        <w:t xml:space="preserve"> cyklu. </w:t>
      </w:r>
      <w:r w:rsidR="00DE4015">
        <w:rPr>
          <w:sz w:val="24"/>
          <w:szCs w:val="24"/>
        </w:rPr>
        <w:t xml:space="preserve"> </w:t>
      </w:r>
    </w:p>
    <w:p w:rsidR="005071B5" w:rsidRDefault="007A46FB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Žalm 18</w:t>
      </w:r>
      <w:r w:rsidR="003558EB">
        <w:rPr>
          <w:sz w:val="24"/>
          <w:szCs w:val="24"/>
        </w:rPr>
        <w:t xml:space="preserve">. v 5. a 6. verši vypovídá o zmiňovaném mýtickém pozadí, které lze poodhalit následujícím překladem: </w:t>
      </w:r>
    </w:p>
    <w:p w:rsidR="007A46FB" w:rsidRDefault="003558EB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„ </w:t>
      </w:r>
      <w:r>
        <w:rPr>
          <w:i/>
          <w:iCs/>
          <w:sz w:val="24"/>
          <w:szCs w:val="24"/>
        </w:rPr>
        <w:t xml:space="preserve">Obchvátily mě provazy </w:t>
      </w:r>
      <w:proofErr w:type="spellStart"/>
      <w:r w:rsidRPr="005071B5">
        <w:rPr>
          <w:b/>
          <w:bCs/>
          <w:i/>
          <w:iCs/>
          <w:sz w:val="24"/>
          <w:szCs w:val="24"/>
        </w:rPr>
        <w:t>Móta</w:t>
      </w:r>
      <w:proofErr w:type="spellEnd"/>
      <w:r>
        <w:rPr>
          <w:rStyle w:val="Znakapoznpodarou"/>
          <w:i/>
          <w:iCs/>
          <w:sz w:val="24"/>
          <w:szCs w:val="24"/>
        </w:rPr>
        <w:footnoteReference w:id="2"/>
      </w:r>
      <w:r w:rsidR="005071B5">
        <w:rPr>
          <w:i/>
          <w:iCs/>
          <w:sz w:val="24"/>
          <w:szCs w:val="24"/>
        </w:rPr>
        <w:t>,</w:t>
      </w:r>
    </w:p>
    <w:p w:rsidR="005071B5" w:rsidRDefault="005071B5" w:rsidP="007505ED">
      <w:pPr>
        <w:ind w:left="3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potoky </w:t>
      </w:r>
      <w:proofErr w:type="spellStart"/>
      <w:r w:rsidRPr="005071B5">
        <w:rPr>
          <w:b/>
          <w:bCs/>
          <w:i/>
          <w:iCs/>
          <w:sz w:val="24"/>
          <w:szCs w:val="24"/>
        </w:rPr>
        <w:t>B</w:t>
      </w:r>
      <w:r w:rsidRPr="005071B5">
        <w:rPr>
          <w:b/>
          <w:bCs/>
          <w:i/>
          <w:iCs/>
          <w:sz w:val="24"/>
          <w:szCs w:val="24"/>
          <w:vertAlign w:val="superscript"/>
        </w:rPr>
        <w:t>e</w:t>
      </w:r>
      <w:r w:rsidRPr="005071B5">
        <w:rPr>
          <w:b/>
          <w:bCs/>
          <w:i/>
          <w:iCs/>
          <w:sz w:val="24"/>
          <w:szCs w:val="24"/>
        </w:rPr>
        <w:t>lijja</w:t>
      </w:r>
      <w:r>
        <w:rPr>
          <w:b/>
          <w:bCs/>
          <w:i/>
          <w:iCs/>
          <w:sz w:val="24"/>
          <w:szCs w:val="24"/>
        </w:rPr>
        <w:t>‘</w:t>
      </w:r>
      <w:r w:rsidRPr="005071B5">
        <w:rPr>
          <w:b/>
          <w:bCs/>
          <w:i/>
          <w:iCs/>
          <w:sz w:val="24"/>
          <w:szCs w:val="24"/>
        </w:rPr>
        <w:t>ala</w:t>
      </w:r>
      <w:proofErr w:type="spellEnd"/>
      <w:r w:rsidR="002F1DFE">
        <w:rPr>
          <w:rStyle w:val="Znakapoznpodarou"/>
          <w:b/>
          <w:bCs/>
          <w:i/>
          <w:iCs/>
          <w:sz w:val="24"/>
          <w:szCs w:val="24"/>
        </w:rPr>
        <w:footnoteReference w:id="3"/>
      </w:r>
      <w:r>
        <w:rPr>
          <w:i/>
          <w:iCs/>
          <w:sz w:val="24"/>
          <w:szCs w:val="24"/>
        </w:rPr>
        <w:t xml:space="preserve"> </w:t>
      </w:r>
      <w:r w:rsidR="00DA1F91">
        <w:rPr>
          <w:sz w:val="24"/>
          <w:szCs w:val="24"/>
        </w:rPr>
        <w:t>mě ohromily.“</w:t>
      </w:r>
    </w:p>
    <w:p w:rsidR="00DA1F91" w:rsidRDefault="00DA1F91" w:rsidP="007505ED">
      <w:pPr>
        <w:ind w:left="3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„ Provazy </w:t>
      </w:r>
      <w:proofErr w:type="spellStart"/>
      <w:r w:rsidRPr="00DA1F91">
        <w:rPr>
          <w:b/>
          <w:bCs/>
          <w:i/>
          <w:iCs/>
          <w:sz w:val="24"/>
          <w:szCs w:val="24"/>
        </w:rPr>
        <w:t>Šeolu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mě obemkly,</w:t>
      </w:r>
    </w:p>
    <w:p w:rsidR="00DA1F91" w:rsidRDefault="00DA1F91" w:rsidP="007505ED">
      <w:pPr>
        <w:ind w:left="3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Vyšly mi vstříc léčky </w:t>
      </w:r>
      <w:proofErr w:type="spellStart"/>
      <w:r>
        <w:rPr>
          <w:b/>
          <w:bCs/>
          <w:i/>
          <w:iCs/>
          <w:sz w:val="24"/>
          <w:szCs w:val="24"/>
        </w:rPr>
        <w:t>Móta</w:t>
      </w:r>
      <w:proofErr w:type="spellEnd"/>
      <w:r>
        <w:rPr>
          <w:sz w:val="24"/>
          <w:szCs w:val="24"/>
        </w:rPr>
        <w:t>.“</w:t>
      </w:r>
    </w:p>
    <w:p w:rsidR="002E63B5" w:rsidRDefault="002E63B5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Král se konfrontuje se smrtí a zmarem a tváří v tvář tomuto hraničnímu ohrožení se obrací na božského krále Hospodina, </w:t>
      </w:r>
      <w:r w:rsidR="00615240">
        <w:rPr>
          <w:sz w:val="24"/>
          <w:szCs w:val="24"/>
        </w:rPr>
        <w:t>kt</w:t>
      </w:r>
      <w:r w:rsidR="005D17C6">
        <w:rPr>
          <w:sz w:val="24"/>
          <w:szCs w:val="24"/>
        </w:rPr>
        <w:t>erého má za jasného Vítěze</w:t>
      </w:r>
      <w:r w:rsidR="00615240">
        <w:rPr>
          <w:sz w:val="24"/>
          <w:szCs w:val="24"/>
        </w:rPr>
        <w:t xml:space="preserve">. </w:t>
      </w:r>
    </w:p>
    <w:p w:rsidR="00C93D03" w:rsidRPr="002E63B5" w:rsidRDefault="00C93D03" w:rsidP="007505ED">
      <w:pPr>
        <w:ind w:left="360"/>
        <w:jc w:val="both"/>
        <w:rPr>
          <w:sz w:val="24"/>
          <w:szCs w:val="24"/>
        </w:rPr>
      </w:pPr>
      <w:r w:rsidRPr="00C93D03">
        <w:rPr>
          <w:noProof/>
          <w:sz w:val="24"/>
          <w:szCs w:val="24"/>
          <w:lang w:eastAsia="cs-CZ"/>
        </w:rPr>
        <w:drawing>
          <wp:inline distT="0" distB="0" distL="0" distR="0">
            <wp:extent cx="2347200" cy="2347200"/>
            <wp:effectExtent l="0" t="0" r="0" b="0"/>
            <wp:docPr id="4" name="Obrázek 4" descr="C:\Users\uzivatel\Desktop\Antropomorfismy 2017 Milan Pavýza Lanpa\Mojžíšova cesta\Mojžíšova cesta - ob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esktop\Antropomorfismy 2017 Milan Pavýza Lanpa\Mojžíšova cesta\Mojžíšova cesta - obav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00" cy="23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F91" w:rsidRDefault="009D3771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Může se jednat o sekundární </w:t>
      </w:r>
      <w:proofErr w:type="spellStart"/>
      <w:r>
        <w:rPr>
          <w:sz w:val="24"/>
          <w:szCs w:val="24"/>
        </w:rPr>
        <w:t>mýticko</w:t>
      </w:r>
      <w:proofErr w:type="spellEnd"/>
      <w:r>
        <w:rPr>
          <w:sz w:val="24"/>
          <w:szCs w:val="24"/>
        </w:rPr>
        <w:t xml:space="preserve"> - poetické zpracování příběhu o </w:t>
      </w:r>
      <w:proofErr w:type="spellStart"/>
      <w:r>
        <w:rPr>
          <w:sz w:val="24"/>
          <w:szCs w:val="24"/>
        </w:rPr>
        <w:t>héroickém</w:t>
      </w:r>
      <w:proofErr w:type="spellEnd"/>
      <w:r>
        <w:rPr>
          <w:sz w:val="24"/>
          <w:szCs w:val="24"/>
        </w:rPr>
        <w:t xml:space="preserve"> panovníkovi, který se dostal do situace bezprostředního ohrožení života. Na tuto situaci navazuje další úsek žalmu, a to v sedmém verši. </w:t>
      </w:r>
    </w:p>
    <w:p w:rsidR="009D3771" w:rsidRDefault="009D3771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„ V soužení svém jsem volal k Hospodinu,</w:t>
      </w:r>
    </w:p>
    <w:p w:rsidR="009D3771" w:rsidRDefault="009D3771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 Bohu svému volal o pomoc,</w:t>
      </w:r>
    </w:p>
    <w:p w:rsidR="009D3771" w:rsidRDefault="009D3771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uslyšel ze svého chrámu můj hlas,</w:t>
      </w:r>
    </w:p>
    <w:p w:rsidR="009D3771" w:rsidRDefault="009D3771" w:rsidP="007505ED">
      <w:pPr>
        <w:ind w:left="360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 mé volání o pomoc proniklo až k jeho sluchu.“ (Ž 18, 7)</w:t>
      </w:r>
    </w:p>
    <w:p w:rsidR="00921A8A" w:rsidRDefault="00921A8A" w:rsidP="007505ED">
      <w:pPr>
        <w:ind w:left="360"/>
        <w:jc w:val="both"/>
        <w:rPr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méhechaló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„ze svého chrámu“ </w:t>
      </w:r>
      <w:r>
        <w:rPr>
          <w:sz w:val="24"/>
          <w:szCs w:val="24"/>
        </w:rPr>
        <w:t xml:space="preserve">buď poukazuje na Hospodinovo mýtické sídlo na </w:t>
      </w:r>
      <w:proofErr w:type="spellStart"/>
      <w:r>
        <w:rPr>
          <w:sz w:val="24"/>
          <w:szCs w:val="24"/>
        </w:rPr>
        <w:t>Sijónu</w:t>
      </w:r>
      <w:proofErr w:type="spellEnd"/>
      <w:r>
        <w:rPr>
          <w:sz w:val="24"/>
          <w:szCs w:val="24"/>
        </w:rPr>
        <w:t xml:space="preserve">, nebo přímo na Hospodinův jeruzalémský chrám, který podle obvyklých staroorientálních představ plnil roli útočištného místa. </w:t>
      </w:r>
      <w:r w:rsidR="002E281A">
        <w:rPr>
          <w:sz w:val="24"/>
          <w:szCs w:val="24"/>
        </w:rPr>
        <w:t xml:space="preserve">Právě v chrámu mohlo být ohroženému panovníkovi </w:t>
      </w:r>
      <w:r w:rsidR="002E281A">
        <w:rPr>
          <w:sz w:val="24"/>
          <w:szCs w:val="24"/>
        </w:rPr>
        <w:lastRenderedPageBreak/>
        <w:t xml:space="preserve">sděleno Hospodinovo orákulum o záchraně, jež mu zároveň pomohlo aktivovat vlastní síly proti nepřátelským entitám. </w:t>
      </w:r>
    </w:p>
    <w:p w:rsidR="001455FF" w:rsidRDefault="001455FF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Popis Hospodinovy atmosférické teofanie se prolamuje do dosavadní kontinuity žalmu. Úsek od 8. k 16. verši s velkou pravděpodobností reflektuje starověký kosmologický mýtus. Hospodin zahání mocnosti chaosu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a</w:t>
      </w:r>
      <w:r>
        <w:rPr>
          <w:b/>
          <w:bCs/>
          <w:i/>
          <w:iCs/>
          <w:sz w:val="24"/>
          <w:szCs w:val="24"/>
        </w:rPr>
        <w:t>fiqé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majim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 w:rsidRPr="001455FF">
        <w:rPr>
          <w:i/>
          <w:iCs/>
          <w:sz w:val="24"/>
          <w:szCs w:val="24"/>
        </w:rPr>
        <w:t>„řečiště vod“</w:t>
      </w:r>
      <w:r>
        <w:rPr>
          <w:sz w:val="24"/>
          <w:szCs w:val="24"/>
        </w:rPr>
        <w:t xml:space="preserve"> a odhaluje </w:t>
      </w:r>
      <w:proofErr w:type="spellStart"/>
      <w:r>
        <w:rPr>
          <w:b/>
          <w:bCs/>
          <w:i/>
          <w:iCs/>
          <w:sz w:val="24"/>
          <w:szCs w:val="24"/>
        </w:rPr>
        <w:t>mósdot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ttévél</w:t>
      </w:r>
      <w:proofErr w:type="spellEnd"/>
      <w:r>
        <w:rPr>
          <w:i/>
          <w:iCs/>
          <w:sz w:val="24"/>
          <w:szCs w:val="24"/>
        </w:rPr>
        <w:t xml:space="preserve"> „základy země“.</w:t>
      </w:r>
    </w:p>
    <w:p w:rsidR="009E0A52" w:rsidRDefault="009E0A52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Další verše 17. a 18. patrně rovněž představují </w:t>
      </w:r>
      <w:proofErr w:type="spellStart"/>
      <w:r>
        <w:rPr>
          <w:sz w:val="24"/>
          <w:szCs w:val="24"/>
        </w:rPr>
        <w:t>mýticko</w:t>
      </w:r>
      <w:proofErr w:type="spellEnd"/>
      <w:r>
        <w:rPr>
          <w:sz w:val="24"/>
          <w:szCs w:val="24"/>
        </w:rPr>
        <w:t xml:space="preserve"> - poetické zpracování vítězné situace hrdinského krále, což dokládá slovní spojení </w:t>
      </w:r>
      <w:proofErr w:type="spellStart"/>
      <w:r w:rsidR="00522EE7" w:rsidRPr="00522EE7">
        <w:rPr>
          <w:b/>
          <w:bCs/>
          <w:i/>
          <w:iCs/>
          <w:sz w:val="24"/>
          <w:szCs w:val="24"/>
        </w:rPr>
        <w:t>jamšení</w:t>
      </w:r>
      <w:proofErr w:type="spellEnd"/>
      <w:r w:rsidR="00522EE7" w:rsidRPr="00522EE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522EE7" w:rsidRPr="00522EE7">
        <w:rPr>
          <w:b/>
          <w:bCs/>
          <w:i/>
          <w:iCs/>
          <w:sz w:val="24"/>
          <w:szCs w:val="24"/>
        </w:rPr>
        <w:t>mimmajim</w:t>
      </w:r>
      <w:proofErr w:type="spellEnd"/>
      <w:r w:rsidR="00522EE7" w:rsidRPr="00522EE7">
        <w:rPr>
          <w:b/>
          <w:bCs/>
          <w:i/>
          <w:iCs/>
          <w:sz w:val="24"/>
          <w:szCs w:val="24"/>
        </w:rPr>
        <w:t xml:space="preserve"> rabím</w:t>
      </w:r>
      <w:r w:rsidR="00522EE7">
        <w:rPr>
          <w:b/>
          <w:bCs/>
          <w:i/>
          <w:iCs/>
          <w:sz w:val="24"/>
          <w:szCs w:val="24"/>
        </w:rPr>
        <w:t xml:space="preserve"> </w:t>
      </w:r>
      <w:r w:rsidR="00522EE7">
        <w:rPr>
          <w:i/>
          <w:iCs/>
          <w:sz w:val="24"/>
          <w:szCs w:val="24"/>
        </w:rPr>
        <w:t xml:space="preserve">„vytáhl mě z mohutných vod“. </w:t>
      </w:r>
    </w:p>
    <w:p w:rsidR="00522EE7" w:rsidRDefault="00522EE7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21. verš potvrzuje panovníkovo vyvolení i v kultické oblasti.</w:t>
      </w:r>
    </w:p>
    <w:p w:rsidR="00522EE7" w:rsidRDefault="00522EE7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„ Odplatil mi Hospodin podle mé spravedlnosti,</w:t>
      </w:r>
    </w:p>
    <w:p w:rsidR="00522EE7" w:rsidRDefault="00522EE7" w:rsidP="007505ED">
      <w:pPr>
        <w:ind w:left="36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podle </w:t>
      </w:r>
      <w:r w:rsidRPr="00522EE7">
        <w:rPr>
          <w:b/>
          <w:bCs/>
          <w:i/>
          <w:iCs/>
          <w:sz w:val="24"/>
          <w:szCs w:val="24"/>
        </w:rPr>
        <w:t>čistoty</w:t>
      </w:r>
      <w:r>
        <w:rPr>
          <w:i/>
          <w:iCs/>
          <w:sz w:val="24"/>
          <w:szCs w:val="24"/>
        </w:rPr>
        <w:t xml:space="preserve"> mých rukou, ulpívající na mě.“</w:t>
      </w:r>
    </w:p>
    <w:p w:rsidR="00522EE7" w:rsidRDefault="00C27BAF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Výraz </w:t>
      </w:r>
      <w:proofErr w:type="spellStart"/>
      <w:r>
        <w:rPr>
          <w:b/>
          <w:bCs/>
          <w:i/>
          <w:iCs/>
          <w:sz w:val="24"/>
          <w:szCs w:val="24"/>
        </w:rPr>
        <w:t>kvór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„podle čistoty“ </w:t>
      </w:r>
      <w:r>
        <w:rPr>
          <w:sz w:val="24"/>
          <w:szCs w:val="24"/>
        </w:rPr>
        <w:t>lze opět vykládat na základě etymologické souvislosti s </w:t>
      </w:r>
      <w:proofErr w:type="spellStart"/>
      <w:r>
        <w:rPr>
          <w:sz w:val="24"/>
          <w:szCs w:val="24"/>
        </w:rPr>
        <w:t>ugaritským</w:t>
      </w:r>
      <w:proofErr w:type="spellEnd"/>
      <w:r>
        <w:rPr>
          <w:sz w:val="24"/>
          <w:szCs w:val="24"/>
        </w:rPr>
        <w:t xml:space="preserve"> výrazem </w:t>
      </w:r>
      <w:r>
        <w:rPr>
          <w:b/>
          <w:bCs/>
          <w:i/>
          <w:iCs/>
          <w:sz w:val="24"/>
          <w:szCs w:val="24"/>
        </w:rPr>
        <w:t>brr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„čistý, zářící“. </w:t>
      </w:r>
      <w:r>
        <w:rPr>
          <w:sz w:val="24"/>
          <w:szCs w:val="24"/>
        </w:rPr>
        <w:t xml:space="preserve">V tomto případě by rituální čistota panovníka představovala krásné synonymum k pojmu </w:t>
      </w:r>
      <w:proofErr w:type="spellStart"/>
      <w:r>
        <w:rPr>
          <w:b/>
          <w:bCs/>
          <w:i/>
          <w:iCs/>
          <w:sz w:val="24"/>
          <w:szCs w:val="24"/>
        </w:rPr>
        <w:t>sedeq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„spravedlnost“</w:t>
      </w:r>
      <w:r>
        <w:rPr>
          <w:sz w:val="24"/>
          <w:szCs w:val="24"/>
        </w:rPr>
        <w:t xml:space="preserve">, což je společně s pojmy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e</w:t>
      </w:r>
      <w:r>
        <w:rPr>
          <w:b/>
          <w:bCs/>
          <w:i/>
          <w:iCs/>
          <w:sz w:val="24"/>
          <w:szCs w:val="24"/>
        </w:rPr>
        <w:t>met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„pravda“ </w:t>
      </w:r>
      <w:r>
        <w:rPr>
          <w:sz w:val="24"/>
          <w:szCs w:val="24"/>
        </w:rPr>
        <w:t xml:space="preserve">a </w:t>
      </w:r>
      <w:proofErr w:type="spellStart"/>
      <w:r>
        <w:rPr>
          <w:b/>
          <w:bCs/>
          <w:i/>
          <w:iCs/>
          <w:sz w:val="24"/>
          <w:szCs w:val="24"/>
        </w:rPr>
        <w:t>chesed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„milosrdenství“</w:t>
      </w:r>
      <w:r>
        <w:rPr>
          <w:sz w:val="24"/>
          <w:szCs w:val="24"/>
        </w:rPr>
        <w:t xml:space="preserve">, jeden ze základních atributů mesiášského vládce. </w:t>
      </w:r>
      <w:r w:rsidR="000F4507">
        <w:rPr>
          <w:sz w:val="24"/>
          <w:szCs w:val="24"/>
        </w:rPr>
        <w:t xml:space="preserve">Panovník, jako pozemský reprezentant Hospodinovy vlády a prostředník jeho vůle dbá na dodržování </w:t>
      </w:r>
      <w:proofErr w:type="spellStart"/>
      <w:r w:rsidR="000F4507">
        <w:rPr>
          <w:b/>
          <w:bCs/>
          <w:i/>
          <w:iCs/>
          <w:sz w:val="24"/>
          <w:szCs w:val="24"/>
        </w:rPr>
        <w:t>mišpátim</w:t>
      </w:r>
      <w:proofErr w:type="spellEnd"/>
      <w:r w:rsidR="000F4507">
        <w:rPr>
          <w:b/>
          <w:bCs/>
          <w:i/>
          <w:iCs/>
          <w:sz w:val="24"/>
          <w:szCs w:val="24"/>
        </w:rPr>
        <w:t xml:space="preserve"> </w:t>
      </w:r>
      <w:r w:rsidR="000F4507">
        <w:rPr>
          <w:i/>
          <w:iCs/>
          <w:sz w:val="24"/>
          <w:szCs w:val="24"/>
        </w:rPr>
        <w:t xml:space="preserve">„řádů“ </w:t>
      </w:r>
      <w:r w:rsidR="000F4507">
        <w:rPr>
          <w:sz w:val="24"/>
          <w:szCs w:val="24"/>
        </w:rPr>
        <w:t xml:space="preserve">a </w:t>
      </w:r>
      <w:proofErr w:type="spellStart"/>
      <w:r w:rsidR="000F4507">
        <w:rPr>
          <w:b/>
          <w:bCs/>
          <w:i/>
          <w:iCs/>
          <w:sz w:val="24"/>
          <w:szCs w:val="24"/>
        </w:rPr>
        <w:t>chuqqót</w:t>
      </w:r>
      <w:proofErr w:type="spellEnd"/>
      <w:r w:rsidR="005D2147">
        <w:rPr>
          <w:b/>
          <w:bCs/>
          <w:i/>
          <w:iCs/>
          <w:sz w:val="24"/>
          <w:szCs w:val="24"/>
        </w:rPr>
        <w:t xml:space="preserve"> </w:t>
      </w:r>
      <w:r w:rsidR="005D2147">
        <w:rPr>
          <w:i/>
          <w:iCs/>
          <w:sz w:val="24"/>
          <w:szCs w:val="24"/>
        </w:rPr>
        <w:t xml:space="preserve">„nařízení“. </w:t>
      </w:r>
      <w:r w:rsidR="00207F47">
        <w:rPr>
          <w:sz w:val="24"/>
          <w:szCs w:val="24"/>
        </w:rPr>
        <w:t>Od krále, který obrazně řečeno přijímá božský trůn, je vyžadována mimořádně vysoká inteligence, psychická a fyzická síla a výjimečná dovednost.</w:t>
      </w:r>
    </w:p>
    <w:p w:rsidR="00D876E5" w:rsidRPr="0032127E" w:rsidRDefault="00D876E5" w:rsidP="007505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četných diskusí se stal 47. verš, který začíná zvoláním </w:t>
      </w:r>
      <w:proofErr w:type="spellStart"/>
      <w:r>
        <w:rPr>
          <w:b/>
          <w:bCs/>
          <w:i/>
          <w:iCs/>
          <w:sz w:val="24"/>
          <w:szCs w:val="24"/>
        </w:rPr>
        <w:t>chaj</w:t>
      </w:r>
      <w:proofErr w:type="spellEnd"/>
      <w:r>
        <w:rPr>
          <w:b/>
          <w:bCs/>
          <w:i/>
          <w:iCs/>
          <w:sz w:val="24"/>
          <w:szCs w:val="24"/>
        </w:rPr>
        <w:t xml:space="preserve"> JHVH</w:t>
      </w:r>
      <w:r>
        <w:rPr>
          <w:i/>
          <w:iCs/>
          <w:sz w:val="24"/>
          <w:szCs w:val="24"/>
        </w:rPr>
        <w:t xml:space="preserve"> „žije Hospodin“</w:t>
      </w:r>
      <w:r>
        <w:rPr>
          <w:sz w:val="24"/>
          <w:szCs w:val="24"/>
        </w:rPr>
        <w:t>, což je obrat známý například z </w:t>
      </w:r>
      <w:proofErr w:type="spellStart"/>
      <w:r>
        <w:rPr>
          <w:sz w:val="24"/>
          <w:szCs w:val="24"/>
        </w:rPr>
        <w:t>ugaritského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Ba‘alovského</w:t>
      </w:r>
      <w:proofErr w:type="spellEnd"/>
      <w:r>
        <w:rPr>
          <w:sz w:val="24"/>
          <w:szCs w:val="24"/>
        </w:rPr>
        <w:t xml:space="preserve"> cyklu, kde je uvedeno </w:t>
      </w:r>
      <w:proofErr w:type="spellStart"/>
      <w:r>
        <w:rPr>
          <w:b/>
          <w:bCs/>
          <w:i/>
          <w:iCs/>
          <w:sz w:val="24"/>
          <w:szCs w:val="24"/>
        </w:rPr>
        <w:t>chaj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alijan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Ba‘al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„žije vítězný </w:t>
      </w:r>
      <w:proofErr w:type="spellStart"/>
      <w:r>
        <w:rPr>
          <w:i/>
          <w:iCs/>
          <w:sz w:val="24"/>
          <w:szCs w:val="24"/>
        </w:rPr>
        <w:t>Ba</w:t>
      </w:r>
      <w:r w:rsidR="006F50BA">
        <w:rPr>
          <w:i/>
          <w:iCs/>
          <w:sz w:val="24"/>
          <w:szCs w:val="24"/>
        </w:rPr>
        <w:t>‘</w:t>
      </w:r>
      <w:r>
        <w:rPr>
          <w:i/>
          <w:iCs/>
          <w:sz w:val="24"/>
          <w:szCs w:val="24"/>
        </w:rPr>
        <w:t>al</w:t>
      </w:r>
      <w:proofErr w:type="spellEnd"/>
      <w:r>
        <w:rPr>
          <w:i/>
          <w:iCs/>
          <w:sz w:val="24"/>
          <w:szCs w:val="24"/>
        </w:rPr>
        <w:t xml:space="preserve">“. </w:t>
      </w:r>
      <w:r w:rsidR="0032127E">
        <w:rPr>
          <w:sz w:val="24"/>
          <w:szCs w:val="24"/>
        </w:rPr>
        <w:t xml:space="preserve">V našem žalmu tento výrok provolává jako první panovník, který veřejně vyznává naprostou důvěru a oddanost svému Bohu Hospodinu. </w:t>
      </w:r>
      <w:r w:rsidR="00841868">
        <w:rPr>
          <w:sz w:val="24"/>
          <w:szCs w:val="24"/>
        </w:rPr>
        <w:t>Je-li živ Hospodin král, pak i pozemský královský majestát</w:t>
      </w:r>
      <w:r w:rsidR="007373D4">
        <w:rPr>
          <w:sz w:val="24"/>
          <w:szCs w:val="24"/>
        </w:rPr>
        <w:t xml:space="preserve"> překonal či do budoucna překlene nebezpečí</w:t>
      </w:r>
      <w:r w:rsidR="00A840DE">
        <w:rPr>
          <w:sz w:val="24"/>
          <w:szCs w:val="24"/>
        </w:rPr>
        <w:t xml:space="preserve">, a tak má naději na budoucí existenci. </w:t>
      </w:r>
      <w:bookmarkStart w:id="0" w:name="_GoBack"/>
      <w:bookmarkEnd w:id="0"/>
    </w:p>
    <w:p w:rsidR="009E0A52" w:rsidRPr="009E0A52" w:rsidRDefault="009E0A52" w:rsidP="007505ED">
      <w:pPr>
        <w:ind w:left="360"/>
        <w:jc w:val="both"/>
        <w:rPr>
          <w:sz w:val="24"/>
          <w:szCs w:val="24"/>
        </w:rPr>
      </w:pPr>
    </w:p>
    <w:sectPr w:rsidR="009E0A52" w:rsidRPr="009E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1D" w:rsidRDefault="00E4231D" w:rsidP="00E61B6A">
      <w:pPr>
        <w:spacing w:after="0" w:line="240" w:lineRule="auto"/>
      </w:pPr>
      <w:r>
        <w:separator/>
      </w:r>
    </w:p>
  </w:endnote>
  <w:endnote w:type="continuationSeparator" w:id="0">
    <w:p w:rsidR="00E4231D" w:rsidRDefault="00E4231D" w:rsidP="00E6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1D" w:rsidRDefault="00E4231D" w:rsidP="00E61B6A">
      <w:pPr>
        <w:spacing w:after="0" w:line="240" w:lineRule="auto"/>
      </w:pPr>
      <w:r>
        <w:separator/>
      </w:r>
    </w:p>
  </w:footnote>
  <w:footnote w:type="continuationSeparator" w:id="0">
    <w:p w:rsidR="00E4231D" w:rsidRDefault="00E4231D" w:rsidP="00E61B6A">
      <w:pPr>
        <w:spacing w:after="0" w:line="240" w:lineRule="auto"/>
      </w:pPr>
      <w:r>
        <w:continuationSeparator/>
      </w:r>
    </w:p>
  </w:footnote>
  <w:footnote w:id="1">
    <w:p w:rsidR="00E61B6A" w:rsidRPr="005B1B9C" w:rsidRDefault="00E61B6A" w:rsidP="00E61B6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Přečti PROCHÁZKOVÁ, Ivana. </w:t>
      </w:r>
      <w:r w:rsidRPr="00E61B6A">
        <w:rPr>
          <w:i/>
          <w:iCs/>
        </w:rPr>
        <w:t>Hospodin je král.</w:t>
      </w:r>
      <w:r>
        <w:rPr>
          <w:i/>
          <w:iCs/>
        </w:rPr>
        <w:t xml:space="preserve"> Starozákonní metafora ve světle kognitivní lingvistiky. </w:t>
      </w:r>
      <w:r w:rsidR="005B1B9C">
        <w:t xml:space="preserve">Praha: Česká biblická společnost, 2011. ISBN </w:t>
      </w:r>
      <w:r w:rsidR="005B1B9C" w:rsidRPr="005B1B9C">
        <w:rPr>
          <w:rFonts w:cstheme="minorHAnsi"/>
          <w:color w:val="000000"/>
          <w:shd w:val="clear" w:color="auto" w:fill="FFFFFF"/>
        </w:rPr>
        <w:t>9788087287361</w:t>
      </w:r>
    </w:p>
  </w:footnote>
  <w:footnote w:id="2">
    <w:p w:rsidR="003558EB" w:rsidRDefault="003558EB" w:rsidP="00E66DC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Perosnifikovaná</w:t>
      </w:r>
      <w:proofErr w:type="spellEnd"/>
      <w:r>
        <w:t xml:space="preserve"> smrt v podobě jednoho z korunních </w:t>
      </w:r>
      <w:r w:rsidR="00823A61">
        <w:t>princů a zároveň literárně líčená jako</w:t>
      </w:r>
      <w:r>
        <w:t xml:space="preserve"> </w:t>
      </w:r>
      <w:r w:rsidR="00823A61">
        <w:t>nenasytné zvíře</w:t>
      </w:r>
      <w:r>
        <w:t xml:space="preserve">. </w:t>
      </w:r>
      <w:r w:rsidR="00F95D8E">
        <w:t xml:space="preserve">Srov. </w:t>
      </w:r>
      <w:r w:rsidR="00823A61">
        <w:t>DIE KEILALPHABETISCHEN TEXT</w:t>
      </w:r>
      <w:r w:rsidR="00854413">
        <w:t>E</w:t>
      </w:r>
      <w:r w:rsidR="00823A61">
        <w:t xml:space="preserve"> AUS UGARIT. THE CUNEIFORM ALPHABETIC TEXTS FROM UGARIT</w:t>
      </w:r>
      <w:r w:rsidR="00F95D8E">
        <w:t xml:space="preserve"> (KTU/CAT)</w:t>
      </w:r>
      <w:r w:rsidR="00E66DCB">
        <w:t xml:space="preserve">, </w:t>
      </w:r>
      <w:proofErr w:type="spellStart"/>
      <w:r w:rsidR="00E66DCB">
        <w:t>Mü</w:t>
      </w:r>
      <w:r w:rsidR="00F95D8E">
        <w:t>nchen</w:t>
      </w:r>
      <w:proofErr w:type="spellEnd"/>
      <w:r w:rsidR="00F95D8E">
        <w:t xml:space="preserve">: </w:t>
      </w:r>
      <w:proofErr w:type="spellStart"/>
      <w:r w:rsidR="00F95D8E">
        <w:t>Ugarit</w:t>
      </w:r>
      <w:proofErr w:type="spellEnd"/>
      <w:r w:rsidR="00F95D8E">
        <w:t xml:space="preserve"> </w:t>
      </w:r>
      <w:proofErr w:type="spellStart"/>
      <w:r w:rsidR="00F95D8E">
        <w:t>Verlag</w:t>
      </w:r>
      <w:proofErr w:type="spellEnd"/>
      <w:r w:rsidR="00F95D8E">
        <w:t>, 1995,</w:t>
      </w:r>
      <w:r w:rsidR="00E66DCB">
        <w:t xml:space="preserve"> </w:t>
      </w:r>
      <w:r w:rsidR="00823A61">
        <w:t xml:space="preserve">2013. </w:t>
      </w:r>
      <w:r w:rsidR="00F95D8E">
        <w:t xml:space="preserve"> </w:t>
      </w:r>
    </w:p>
  </w:footnote>
  <w:footnote w:id="3">
    <w:p w:rsidR="002F1DFE" w:rsidRDefault="002F1DFE" w:rsidP="00E348A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Výraz se často překládá jako „Ničemník“ nebo „Zhoubce“, což je časté přízvisko západosemitského podsvětního boha </w:t>
      </w:r>
      <w:proofErr w:type="spellStart"/>
      <w:r>
        <w:t>Rešepa</w:t>
      </w:r>
      <w:proofErr w:type="spellEnd"/>
      <w:r>
        <w:t>/</w:t>
      </w:r>
      <w:proofErr w:type="spellStart"/>
      <w:r>
        <w:t>Rašafa</w:t>
      </w:r>
      <w:proofErr w:type="spellEnd"/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45DD5"/>
    <w:multiLevelType w:val="hybridMultilevel"/>
    <w:tmpl w:val="3C54B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2B"/>
    <w:rsid w:val="000778E6"/>
    <w:rsid w:val="000C7370"/>
    <w:rsid w:val="000D1108"/>
    <w:rsid w:val="000D66A9"/>
    <w:rsid w:val="000F4507"/>
    <w:rsid w:val="00106D1A"/>
    <w:rsid w:val="0012302D"/>
    <w:rsid w:val="00141FE5"/>
    <w:rsid w:val="001455FF"/>
    <w:rsid w:val="00182BC6"/>
    <w:rsid w:val="001D698A"/>
    <w:rsid w:val="00207F47"/>
    <w:rsid w:val="00222279"/>
    <w:rsid w:val="0028262B"/>
    <w:rsid w:val="002A04AD"/>
    <w:rsid w:val="002D1F57"/>
    <w:rsid w:val="002E281A"/>
    <w:rsid w:val="002E63B5"/>
    <w:rsid w:val="002F1DFE"/>
    <w:rsid w:val="0032127E"/>
    <w:rsid w:val="0035570E"/>
    <w:rsid w:val="003558EB"/>
    <w:rsid w:val="00387572"/>
    <w:rsid w:val="003F7677"/>
    <w:rsid w:val="00421C7C"/>
    <w:rsid w:val="00504C22"/>
    <w:rsid w:val="005071B5"/>
    <w:rsid w:val="00522EE7"/>
    <w:rsid w:val="005B1B9C"/>
    <w:rsid w:val="005D17C6"/>
    <w:rsid w:val="005D2147"/>
    <w:rsid w:val="00615240"/>
    <w:rsid w:val="00646F7C"/>
    <w:rsid w:val="006A5ADC"/>
    <w:rsid w:val="006C7E3E"/>
    <w:rsid w:val="006F50BA"/>
    <w:rsid w:val="007373D4"/>
    <w:rsid w:val="007505ED"/>
    <w:rsid w:val="00767531"/>
    <w:rsid w:val="007A46FB"/>
    <w:rsid w:val="00812690"/>
    <w:rsid w:val="00820D66"/>
    <w:rsid w:val="00823A61"/>
    <w:rsid w:val="00841868"/>
    <w:rsid w:val="008429B7"/>
    <w:rsid w:val="00854413"/>
    <w:rsid w:val="008A3D10"/>
    <w:rsid w:val="00921A8A"/>
    <w:rsid w:val="009C2EA9"/>
    <w:rsid w:val="009D3771"/>
    <w:rsid w:val="009E0A52"/>
    <w:rsid w:val="00A44D01"/>
    <w:rsid w:val="00A63E37"/>
    <w:rsid w:val="00A840DE"/>
    <w:rsid w:val="00AB71EC"/>
    <w:rsid w:val="00AE48D2"/>
    <w:rsid w:val="00B73E29"/>
    <w:rsid w:val="00C27BAF"/>
    <w:rsid w:val="00C85648"/>
    <w:rsid w:val="00C93D03"/>
    <w:rsid w:val="00CA37B3"/>
    <w:rsid w:val="00CC62C5"/>
    <w:rsid w:val="00CE51F8"/>
    <w:rsid w:val="00D0356A"/>
    <w:rsid w:val="00D21018"/>
    <w:rsid w:val="00D876E5"/>
    <w:rsid w:val="00DA1F91"/>
    <w:rsid w:val="00DE4015"/>
    <w:rsid w:val="00E348A1"/>
    <w:rsid w:val="00E4231D"/>
    <w:rsid w:val="00E575C2"/>
    <w:rsid w:val="00E61B6A"/>
    <w:rsid w:val="00E66DCB"/>
    <w:rsid w:val="00F9305E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98B0"/>
  <w15:chartTrackingRefBased/>
  <w15:docId w15:val="{03828AED-ACDE-4083-9AD5-23F205FD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64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1B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1B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1B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E7B6-E193-4AFF-B641-C3B6D222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1019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61</cp:revision>
  <dcterms:created xsi:type="dcterms:W3CDTF">2019-05-23T02:42:00Z</dcterms:created>
  <dcterms:modified xsi:type="dcterms:W3CDTF">2019-05-27T03:50:00Z</dcterms:modified>
</cp:coreProperties>
</file>