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7F" w:rsidRPr="00976CC0" w:rsidRDefault="00B3777F" w:rsidP="00B3777F">
      <w:pPr>
        <w:jc w:val="both"/>
        <w:rPr>
          <w:b/>
          <w:bCs/>
          <w:sz w:val="28"/>
          <w:szCs w:val="28"/>
        </w:rPr>
      </w:pPr>
      <w:r w:rsidRPr="00976CC0">
        <w:rPr>
          <w:b/>
          <w:bCs/>
          <w:sz w:val="28"/>
          <w:szCs w:val="28"/>
        </w:rPr>
        <w:t>Mýtické motivy v žalmech</w:t>
      </w:r>
    </w:p>
    <w:p w:rsidR="00B3777F" w:rsidRPr="00976CC0" w:rsidRDefault="00B3777F" w:rsidP="00B3777F">
      <w:pPr>
        <w:jc w:val="both"/>
        <w:rPr>
          <w:b/>
          <w:bCs/>
          <w:sz w:val="28"/>
          <w:szCs w:val="28"/>
        </w:rPr>
      </w:pPr>
      <w:r w:rsidRPr="00976CC0">
        <w:rPr>
          <w:b/>
          <w:bCs/>
          <w:sz w:val="28"/>
          <w:szCs w:val="28"/>
        </w:rPr>
        <w:t>Královské žalmy</w:t>
      </w:r>
    </w:p>
    <w:p w:rsidR="00B3777F" w:rsidRPr="00976CC0" w:rsidRDefault="00B3777F" w:rsidP="00B3777F">
      <w:pPr>
        <w:jc w:val="both"/>
        <w:rPr>
          <w:sz w:val="28"/>
          <w:szCs w:val="28"/>
        </w:rPr>
      </w:pPr>
      <w:r w:rsidRPr="00976CC0">
        <w:rPr>
          <w:sz w:val="28"/>
          <w:szCs w:val="28"/>
        </w:rPr>
        <w:t xml:space="preserve">Terminus </w:t>
      </w:r>
      <w:proofErr w:type="spellStart"/>
      <w:r w:rsidRPr="00976CC0">
        <w:rPr>
          <w:sz w:val="28"/>
          <w:szCs w:val="28"/>
        </w:rPr>
        <w:t>technicus</w:t>
      </w:r>
      <w:proofErr w:type="spellEnd"/>
      <w:r w:rsidRPr="00976CC0">
        <w:rPr>
          <w:sz w:val="28"/>
          <w:szCs w:val="28"/>
        </w:rPr>
        <w:t xml:space="preserve"> královské žalmy se začal používat již před stoletím, kdy badatelé postupně začínali rozvádět téma, vyvěrající z religionistické školy mýtu a rituálu, téma královské ideologie v rituálních textech - žalmech. </w:t>
      </w:r>
    </w:p>
    <w:p w:rsidR="00B3777F" w:rsidRPr="00976CC0" w:rsidRDefault="00B3777F" w:rsidP="00B3777F">
      <w:pPr>
        <w:jc w:val="both"/>
        <w:rPr>
          <w:sz w:val="28"/>
          <w:szCs w:val="28"/>
        </w:rPr>
      </w:pPr>
      <w:r w:rsidRPr="00976CC0">
        <w:rPr>
          <w:sz w:val="28"/>
          <w:szCs w:val="28"/>
        </w:rPr>
        <w:tab/>
        <w:t xml:space="preserve">Přitom musíme rozlišovat mezi žalmy, které pojednávají o bohu Hospodinu s královskými přízvisky a oslavují ho jako panovníka nad národy a světovým vládcem a žalmy, které jsou v návaznosti na zavedenou staroorientální ideologii nějak vztaženy k lidskému panovníkovi nad lidem Izraele, potažmo Judským královstvím. Skutečnost, že lidské královské zřízení a uspořádání nějakým způsobem odpovídá božskému zřízení a vládě je obdobou </w:t>
      </w:r>
      <w:proofErr w:type="spellStart"/>
      <w:r w:rsidRPr="00976CC0">
        <w:rPr>
          <w:sz w:val="28"/>
          <w:szCs w:val="28"/>
        </w:rPr>
        <w:t>kenaanských</w:t>
      </w:r>
      <w:proofErr w:type="spellEnd"/>
      <w:r w:rsidRPr="00976CC0">
        <w:rPr>
          <w:sz w:val="28"/>
          <w:szCs w:val="28"/>
        </w:rPr>
        <w:t xml:space="preserve"> mýtických a rituálních textů, textů babylónských, případně egyptských. Jedna rovina zřetelně popisuje mýtické výpovědi žalmů jako </w:t>
      </w:r>
      <w:proofErr w:type="spellStart"/>
      <w:r w:rsidRPr="00976CC0">
        <w:rPr>
          <w:sz w:val="28"/>
          <w:szCs w:val="28"/>
        </w:rPr>
        <w:t>narativ</w:t>
      </w:r>
      <w:proofErr w:type="spellEnd"/>
      <w:r w:rsidRPr="00976CC0">
        <w:rPr>
          <w:sz w:val="28"/>
          <w:szCs w:val="28"/>
        </w:rPr>
        <w:t xml:space="preserve">, který zviditelňuje propojení starého </w:t>
      </w:r>
      <w:proofErr w:type="spellStart"/>
      <w:r w:rsidRPr="00976CC0">
        <w:rPr>
          <w:sz w:val="28"/>
          <w:szCs w:val="28"/>
        </w:rPr>
        <w:t>kenaanského</w:t>
      </w:r>
      <w:proofErr w:type="spellEnd"/>
      <w:r w:rsidRPr="00976CC0">
        <w:rPr>
          <w:sz w:val="28"/>
          <w:szCs w:val="28"/>
        </w:rPr>
        <w:t xml:space="preserve"> náboženství s pozdějším biblickým jahvismem. </w:t>
      </w:r>
    </w:p>
    <w:p w:rsidR="00B3777F" w:rsidRPr="00976CC0" w:rsidRDefault="00B3777F" w:rsidP="00B3777F">
      <w:pPr>
        <w:jc w:val="both"/>
        <w:rPr>
          <w:sz w:val="28"/>
          <w:szCs w:val="28"/>
        </w:rPr>
      </w:pPr>
      <w:r w:rsidRPr="00976CC0">
        <w:rPr>
          <w:sz w:val="28"/>
          <w:szCs w:val="28"/>
        </w:rPr>
        <w:t xml:space="preserve">Nepřeberným zdrojem bohatého materiálu jsou </w:t>
      </w:r>
      <w:proofErr w:type="spellStart"/>
      <w:r w:rsidRPr="00976CC0">
        <w:rPr>
          <w:sz w:val="28"/>
          <w:szCs w:val="28"/>
        </w:rPr>
        <w:t>ugaritské</w:t>
      </w:r>
      <w:proofErr w:type="spellEnd"/>
      <w:r w:rsidRPr="00976CC0">
        <w:rPr>
          <w:sz w:val="28"/>
          <w:szCs w:val="28"/>
        </w:rPr>
        <w:t xml:space="preserve"> literární i rituální texty, které rozvíjejí mýtický jazyk i strukturu velice podobnou biblickým žalmům. </w:t>
      </w:r>
      <w:proofErr w:type="spellStart"/>
      <w:r w:rsidRPr="00976CC0">
        <w:rPr>
          <w:sz w:val="28"/>
          <w:szCs w:val="28"/>
        </w:rPr>
        <w:t>Ugaritské</w:t>
      </w:r>
      <w:proofErr w:type="spellEnd"/>
      <w:r w:rsidRPr="00976CC0">
        <w:rPr>
          <w:sz w:val="28"/>
          <w:szCs w:val="28"/>
        </w:rPr>
        <w:t xml:space="preserve"> i hebrejské texty dost podobně pojednávají o božském shromáždění a jednom z bohů, který mu předsedá, či přímo vládne. Vláda však viditelně následuje po určitých stvořitelských činnostech boha, který se díky těmto kompetencím zcela oprávněně stává králem. Božský král bojuje či minimálně potírá a stírá chaotické živly, což vyjadřuje starý známý mytology oblíbený Mýtus o konfliktu - </w:t>
      </w:r>
      <w:proofErr w:type="spellStart"/>
      <w:r w:rsidRPr="00976CC0">
        <w:rPr>
          <w:sz w:val="28"/>
          <w:szCs w:val="28"/>
        </w:rPr>
        <w:t>Chaoskampf</w:t>
      </w:r>
      <w:proofErr w:type="spellEnd"/>
      <w:r w:rsidRPr="00976C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Style w:val="Znakapoznpodarou"/>
          <w:sz w:val="28"/>
          <w:szCs w:val="28"/>
        </w:rPr>
        <w:footnoteReference w:id="1"/>
      </w:r>
      <w:r w:rsidRPr="00976CC0">
        <w:rPr>
          <w:sz w:val="28"/>
          <w:szCs w:val="28"/>
        </w:rPr>
        <w:t xml:space="preserve"> Přestože se to některým biblistů tak nejeví, konflikt božských entit je přítomen i v He</w:t>
      </w:r>
      <w:r w:rsidR="00FB3A8F">
        <w:rPr>
          <w:sz w:val="28"/>
          <w:szCs w:val="28"/>
        </w:rPr>
        <w:t xml:space="preserve">brejské Bibli, </w:t>
      </w:r>
      <w:r w:rsidRPr="00976CC0">
        <w:rPr>
          <w:sz w:val="28"/>
          <w:szCs w:val="28"/>
        </w:rPr>
        <w:t xml:space="preserve">archaické podoby tohoto konfliktu jsou však překryty nánosem modernějších interpretací, pravděpodobně mladších nejméně 7. století př. </w:t>
      </w:r>
      <w:proofErr w:type="gramStart"/>
      <w:r w:rsidRPr="00976CC0">
        <w:rPr>
          <w:sz w:val="28"/>
          <w:szCs w:val="28"/>
        </w:rPr>
        <w:t>n. l.</w:t>
      </w:r>
      <w:r w:rsidR="00FB3A8F">
        <w:rPr>
          <w:sz w:val="28"/>
          <w:szCs w:val="28"/>
        </w:rPr>
        <w:t>.</w:t>
      </w:r>
      <w:proofErr w:type="gramEnd"/>
      <w:r w:rsidR="00FB3A8F">
        <w:rPr>
          <w:sz w:val="28"/>
          <w:szCs w:val="28"/>
        </w:rPr>
        <w:t xml:space="preserve"> </w:t>
      </w:r>
      <w:r w:rsidRPr="00976CC0">
        <w:rPr>
          <w:sz w:val="28"/>
          <w:szCs w:val="28"/>
        </w:rPr>
        <w:t xml:space="preserve">Od 13. století př. n. l., z něhož pochází většina </w:t>
      </w:r>
      <w:proofErr w:type="spellStart"/>
      <w:r w:rsidRPr="00976CC0">
        <w:rPr>
          <w:sz w:val="28"/>
          <w:szCs w:val="28"/>
        </w:rPr>
        <w:t>ugaritských</w:t>
      </w:r>
      <w:proofErr w:type="spellEnd"/>
      <w:r w:rsidRPr="00976CC0">
        <w:rPr>
          <w:sz w:val="28"/>
          <w:szCs w:val="28"/>
        </w:rPr>
        <w:t xml:space="preserve"> textů, prošel mýtus o božském králi vývojem a začlenil se do nových aramejských, asyrských i babylónských tradic. Do Judska se dostaly i určité mýtické prvky z Egypta.</w:t>
      </w:r>
      <w:r>
        <w:rPr>
          <w:sz w:val="28"/>
          <w:szCs w:val="28"/>
        </w:rPr>
        <w:t xml:space="preserve"> A protože neznáme</w:t>
      </w:r>
      <w:r w:rsidRPr="00976CC0">
        <w:rPr>
          <w:sz w:val="28"/>
          <w:szCs w:val="28"/>
        </w:rPr>
        <w:t xml:space="preserve"> s určitostí stáří žalmických textů, nelze vyvrátit určitý vliv Persie a tehdejší tradice o božském panovníkovi. S tímto vším nakládá Hebrejská Bible. Panovník bůh je často označován </w:t>
      </w:r>
      <w:proofErr w:type="spellStart"/>
      <w:r w:rsidRPr="00976CC0">
        <w:rPr>
          <w:sz w:val="28"/>
          <w:szCs w:val="28"/>
        </w:rPr>
        <w:t>tetragramem</w:t>
      </w:r>
      <w:proofErr w:type="spellEnd"/>
      <w:r w:rsidRPr="00976CC0">
        <w:rPr>
          <w:sz w:val="28"/>
          <w:szCs w:val="28"/>
        </w:rPr>
        <w:t xml:space="preserve"> JHVH a oslavován jako vládce světa a národů. Hebrejským specifikem samozřejmě je, že je vždy a na prvním místě </w:t>
      </w:r>
      <w:r w:rsidRPr="00976CC0">
        <w:rPr>
          <w:sz w:val="28"/>
          <w:szCs w:val="28"/>
        </w:rPr>
        <w:lastRenderedPageBreak/>
        <w:t xml:space="preserve">především zmiňován a oslavován jako král svého lidu, který si vyvolil Izraele. Izrael je Hospodinův lid, jemu vládne způsobem nesrovnatelným s dalšími národy. JHVH si činí nárok na lid Izrael a tento lid si nárokuje vládu JHVH.  Takové úvahy nalezneme při četbě i rozboru Ž 74, 13 - 14; 77, 16 - 20; 89, 9 - 10; 144, 7 a 29, 3 - 5; 10. </w:t>
      </w:r>
    </w:p>
    <w:p w:rsidR="00B3777F" w:rsidRDefault="00B3777F" w:rsidP="00B3777F">
      <w:pPr>
        <w:jc w:val="both"/>
        <w:rPr>
          <w:sz w:val="28"/>
          <w:szCs w:val="28"/>
        </w:rPr>
      </w:pPr>
      <w:r w:rsidRPr="00976CC0">
        <w:rPr>
          <w:sz w:val="28"/>
          <w:szCs w:val="28"/>
        </w:rPr>
        <w:t xml:space="preserve">V žalmu 74 se objevuje literární struktura a obrazy podobající se </w:t>
      </w:r>
      <w:proofErr w:type="spellStart"/>
      <w:r w:rsidRPr="00976CC0">
        <w:rPr>
          <w:sz w:val="28"/>
          <w:szCs w:val="28"/>
        </w:rPr>
        <w:t>ugaritskému</w:t>
      </w:r>
      <w:proofErr w:type="spellEnd"/>
      <w:r w:rsidRPr="00976CC0">
        <w:rPr>
          <w:sz w:val="28"/>
          <w:szCs w:val="28"/>
        </w:rPr>
        <w:t xml:space="preserve"> mýtu o </w:t>
      </w:r>
      <w:proofErr w:type="spellStart"/>
      <w:r w:rsidRPr="00976CC0">
        <w:rPr>
          <w:sz w:val="28"/>
          <w:szCs w:val="28"/>
        </w:rPr>
        <w:t>Baalovi</w:t>
      </w:r>
      <w:proofErr w:type="spellEnd"/>
      <w:r w:rsidRPr="00976CC0">
        <w:rPr>
          <w:sz w:val="28"/>
          <w:szCs w:val="28"/>
        </w:rPr>
        <w:t xml:space="preserve">, který bojuje s Jamem/mořem a v závěru vítězného souboje ho svými větry vysušuje či babylónskému mýtu </w:t>
      </w:r>
      <w:proofErr w:type="spellStart"/>
      <w:r w:rsidRPr="00976CC0">
        <w:rPr>
          <w:sz w:val="28"/>
          <w:szCs w:val="28"/>
        </w:rPr>
        <w:t>Enuma</w:t>
      </w:r>
      <w:proofErr w:type="spellEnd"/>
      <w:r w:rsidRPr="00976CC0">
        <w:rPr>
          <w:sz w:val="28"/>
          <w:szCs w:val="28"/>
        </w:rPr>
        <w:t xml:space="preserve"> </w:t>
      </w:r>
      <w:proofErr w:type="spellStart"/>
      <w:r w:rsidRPr="00976CC0">
        <w:rPr>
          <w:sz w:val="28"/>
          <w:szCs w:val="28"/>
        </w:rPr>
        <w:t>eliš</w:t>
      </w:r>
      <w:proofErr w:type="spellEnd"/>
      <w:r w:rsidRPr="00976CC0">
        <w:rPr>
          <w:sz w:val="28"/>
          <w:szCs w:val="28"/>
        </w:rPr>
        <w:t xml:space="preserve">, kdy bůh </w:t>
      </w:r>
      <w:proofErr w:type="spellStart"/>
      <w:r w:rsidRPr="00976CC0">
        <w:rPr>
          <w:sz w:val="28"/>
          <w:szCs w:val="28"/>
        </w:rPr>
        <w:t>Marduk</w:t>
      </w:r>
      <w:proofErr w:type="spellEnd"/>
      <w:r w:rsidRPr="00976CC0">
        <w:rPr>
          <w:sz w:val="28"/>
          <w:szCs w:val="28"/>
        </w:rPr>
        <w:t xml:space="preserve"> chaotickou protivnici </w:t>
      </w:r>
      <w:proofErr w:type="spellStart"/>
      <w:r w:rsidRPr="00976CC0">
        <w:rPr>
          <w:sz w:val="28"/>
          <w:szCs w:val="28"/>
        </w:rPr>
        <w:t>Tiámat</w:t>
      </w:r>
      <w:proofErr w:type="spellEnd"/>
      <w:r w:rsidRPr="00976CC0">
        <w:rPr>
          <w:sz w:val="28"/>
          <w:szCs w:val="28"/>
        </w:rPr>
        <w:t xml:space="preserve"> svými větry trhá. Nicméně kontext žalmu vypovídá o bolestné a prosebné situaci národa v zajetí či jinak svízelné situaci spíš kolektivní, než osobní.  </w:t>
      </w:r>
      <w:r>
        <w:rPr>
          <w:sz w:val="28"/>
          <w:szCs w:val="28"/>
        </w:rPr>
        <w:t xml:space="preserve">Avšak právě díky těmto výrazným mýtickým metaforám zasahuje jako kolektivní modlitba v případě nepohody i současného člověka. Budeme - </w:t>
      </w:r>
      <w:proofErr w:type="spellStart"/>
      <w:r>
        <w:rPr>
          <w:sz w:val="28"/>
          <w:szCs w:val="28"/>
        </w:rPr>
        <w:t>li</w:t>
      </w:r>
      <w:proofErr w:type="spellEnd"/>
      <w:r>
        <w:rPr>
          <w:sz w:val="28"/>
          <w:szCs w:val="28"/>
        </w:rPr>
        <w:t xml:space="preserve"> text demytologizovat, nezůstane v něm síla, pokusíme - </w:t>
      </w:r>
      <w:proofErr w:type="spellStart"/>
      <w:r>
        <w:rPr>
          <w:sz w:val="28"/>
          <w:szCs w:val="28"/>
        </w:rPr>
        <w:t>li</w:t>
      </w:r>
      <w:proofErr w:type="spellEnd"/>
      <w:r>
        <w:rPr>
          <w:sz w:val="28"/>
          <w:szCs w:val="28"/>
        </w:rPr>
        <w:t xml:space="preserve"> se o </w:t>
      </w:r>
      <w:proofErr w:type="spellStart"/>
      <w:r>
        <w:rPr>
          <w:sz w:val="28"/>
          <w:szCs w:val="28"/>
        </w:rPr>
        <w:t>remytizaci</w:t>
      </w:r>
      <w:proofErr w:type="spellEnd"/>
      <w:r>
        <w:rPr>
          <w:rStyle w:val="Znakapoznpodarou"/>
          <w:sz w:val="28"/>
          <w:szCs w:val="28"/>
        </w:rPr>
        <w:footnoteReference w:id="2"/>
      </w:r>
      <w:r w:rsidR="00DD76C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můžeme starší mýtické prvky připodobnit současnému myšlení. Živly i nepřátelé nás stále mohou ohrozit. </w:t>
      </w:r>
    </w:p>
    <w:p w:rsidR="00FB3A8F" w:rsidRDefault="00FB3A8F" w:rsidP="00B377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Souhrnně můžeme říci, že existovaly hymny, v nichž byl bůh Jahve oslavován jako král nad celou zemí a národy se zvoláním </w:t>
      </w:r>
      <w:r>
        <w:rPr>
          <w:i/>
          <w:iCs/>
          <w:sz w:val="28"/>
          <w:szCs w:val="28"/>
        </w:rPr>
        <w:t xml:space="preserve">Jahve </w:t>
      </w:r>
      <w:proofErr w:type="spellStart"/>
      <w:r>
        <w:rPr>
          <w:i/>
          <w:iCs/>
          <w:sz w:val="28"/>
          <w:szCs w:val="28"/>
        </w:rPr>
        <w:t>malach</w:t>
      </w:r>
      <w:proofErr w:type="spellEnd"/>
      <w:r>
        <w:rPr>
          <w:i/>
          <w:iCs/>
          <w:sz w:val="28"/>
          <w:szCs w:val="28"/>
        </w:rPr>
        <w:t xml:space="preserve">  </w:t>
      </w:r>
      <w:r>
        <w:rPr>
          <w:sz w:val="28"/>
          <w:szCs w:val="28"/>
        </w:rPr>
        <w:t xml:space="preserve">(V žalmech následujících: Žalmy 93,1; 96, 10; 97,1; 99,1), výrazy </w:t>
      </w:r>
      <w:r w:rsidRPr="00FB3A8F">
        <w:rPr>
          <w:i/>
          <w:iCs/>
          <w:sz w:val="28"/>
          <w:szCs w:val="28"/>
        </w:rPr>
        <w:t xml:space="preserve">JHVH </w:t>
      </w:r>
      <w:proofErr w:type="spellStart"/>
      <w:r w:rsidRPr="00FB3A8F">
        <w:rPr>
          <w:i/>
          <w:iCs/>
          <w:sz w:val="28"/>
          <w:szCs w:val="28"/>
        </w:rPr>
        <w:t>eljón</w:t>
      </w:r>
      <w:proofErr w:type="spellEnd"/>
      <w:r w:rsidRPr="00FB3A8F">
        <w:rPr>
          <w:i/>
          <w:iCs/>
          <w:sz w:val="28"/>
          <w:szCs w:val="28"/>
        </w:rPr>
        <w:t xml:space="preserve">… melech </w:t>
      </w:r>
      <w:proofErr w:type="spellStart"/>
      <w:r w:rsidRPr="00FB3A8F">
        <w:rPr>
          <w:i/>
          <w:iCs/>
          <w:sz w:val="28"/>
          <w:szCs w:val="28"/>
        </w:rPr>
        <w:t>gadol</w:t>
      </w:r>
      <w:proofErr w:type="spellEnd"/>
      <w:r>
        <w:rPr>
          <w:sz w:val="28"/>
          <w:szCs w:val="28"/>
        </w:rPr>
        <w:t xml:space="preserve"> (Žalm 47,3) a </w:t>
      </w:r>
      <w:proofErr w:type="spellStart"/>
      <w:r>
        <w:rPr>
          <w:i/>
          <w:iCs/>
          <w:sz w:val="28"/>
          <w:szCs w:val="28"/>
        </w:rPr>
        <w:t>malach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elohim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(Žalm 47,9). </w:t>
      </w:r>
      <w:r w:rsidR="00481F28">
        <w:rPr>
          <w:sz w:val="28"/>
          <w:szCs w:val="28"/>
        </w:rPr>
        <w:t>Je</w:t>
      </w:r>
      <w:r w:rsidR="00C13547">
        <w:rPr>
          <w:sz w:val="28"/>
          <w:szCs w:val="28"/>
        </w:rPr>
        <w:t xml:space="preserve"> možné, že tyto fragmenty žalmu</w:t>
      </w:r>
      <w:r w:rsidR="00481F28">
        <w:rPr>
          <w:sz w:val="28"/>
          <w:szCs w:val="28"/>
        </w:rPr>
        <w:t xml:space="preserve"> hrály určitou úlohu při Novoroční slavnosti, </w:t>
      </w:r>
      <w:r w:rsidR="00C13547">
        <w:rPr>
          <w:sz w:val="28"/>
          <w:szCs w:val="28"/>
        </w:rPr>
        <w:t xml:space="preserve">kterou </w:t>
      </w:r>
      <w:proofErr w:type="spellStart"/>
      <w:r w:rsidR="00C13547">
        <w:rPr>
          <w:sz w:val="28"/>
          <w:szCs w:val="28"/>
        </w:rPr>
        <w:t>Judejci</w:t>
      </w:r>
      <w:proofErr w:type="spellEnd"/>
      <w:r w:rsidR="00C13547">
        <w:rPr>
          <w:sz w:val="28"/>
          <w:szCs w:val="28"/>
        </w:rPr>
        <w:t xml:space="preserve"> slavili možná ještě před obdobím babylonského exilu.</w:t>
      </w:r>
      <w:r w:rsidR="00C13547">
        <w:rPr>
          <w:rStyle w:val="Znakapoznpodarou"/>
          <w:sz w:val="28"/>
          <w:szCs w:val="28"/>
        </w:rPr>
        <w:footnoteReference w:id="3"/>
      </w:r>
      <w:r w:rsidR="00C13547">
        <w:rPr>
          <w:sz w:val="28"/>
          <w:szCs w:val="28"/>
        </w:rPr>
        <w:t xml:space="preserve"> Nicméně v </w:t>
      </w:r>
      <w:proofErr w:type="gramStart"/>
      <w:r w:rsidR="00C13547">
        <w:rPr>
          <w:sz w:val="28"/>
          <w:szCs w:val="28"/>
        </w:rPr>
        <w:t>historickém</w:t>
      </w:r>
      <w:proofErr w:type="gramEnd"/>
      <w:r w:rsidR="00C13547">
        <w:rPr>
          <w:sz w:val="28"/>
          <w:szCs w:val="28"/>
        </w:rPr>
        <w:t xml:space="preserve"> době po návratu z babylónského exilu se pravděpodobně do reálné podoby svátku promítl babylónský poetický </w:t>
      </w:r>
      <w:proofErr w:type="spellStart"/>
      <w:r w:rsidR="00C13547">
        <w:rPr>
          <w:sz w:val="28"/>
          <w:szCs w:val="28"/>
        </w:rPr>
        <w:t>narativ</w:t>
      </w:r>
      <w:proofErr w:type="spellEnd"/>
      <w:r w:rsidR="00C13547">
        <w:rPr>
          <w:sz w:val="28"/>
          <w:szCs w:val="28"/>
        </w:rPr>
        <w:t xml:space="preserve">, opěvující národního boha jako krále světa. </w:t>
      </w:r>
      <w:r w:rsidR="006C6387">
        <w:rPr>
          <w:sz w:val="28"/>
          <w:szCs w:val="28"/>
        </w:rPr>
        <w:t xml:space="preserve">V některých vrstvách těchto žalmů lze pozorovat obsahový posun, jenž se odráží od staroorientálních intronizačních mýtů ke speciálnímu eschatologickému očekávání židovského národa. </w:t>
      </w:r>
    </w:p>
    <w:p w:rsidR="00CE4679" w:rsidRDefault="00CE4679" w:rsidP="00B3777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Historický vývoj a analýza žalmů s královskou ideologií </w:t>
      </w:r>
    </w:p>
    <w:p w:rsidR="0070548A" w:rsidRDefault="00CE4679" w:rsidP="007054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Žalmy, které charakterizují posvátnou úlohu pozemského panovníka a zvláštnosti jeho pověření od národního Boha Hospodina jsou předmětem </w:t>
      </w:r>
      <w:r w:rsidR="001A0EDA">
        <w:rPr>
          <w:sz w:val="28"/>
          <w:szCs w:val="28"/>
        </w:rPr>
        <w:t xml:space="preserve">nevyčerpatelných diskusí. Na základě většinově přijímaného konsensu k nim patří zejména následující: Žalmy 2, 18, 20, 21, 45, 72, 89, 110, 132. </w:t>
      </w:r>
      <w:r w:rsidR="0070548A">
        <w:rPr>
          <w:sz w:val="28"/>
          <w:szCs w:val="28"/>
        </w:rPr>
        <w:t xml:space="preserve">Podnět pro analýzu zmiňovaných žalmů dala kdysi slavná škola „ Mýtu a rituálu“, která však </w:t>
      </w:r>
      <w:r w:rsidR="0070548A">
        <w:rPr>
          <w:sz w:val="28"/>
          <w:szCs w:val="28"/>
        </w:rPr>
        <w:lastRenderedPageBreak/>
        <w:t xml:space="preserve">dnes patří už spíš do badatelského archivu. Nicméně směry, které této škole oponovaly nebo na ni navazovaly, se vyvíjí do dnešní doby a pracují ve třech základních diskursech. </w:t>
      </w:r>
    </w:p>
    <w:p w:rsidR="0070548A" w:rsidRDefault="0070548A" w:rsidP="0070548A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Historický diskurs má i dnes své zastánce</w:t>
      </w:r>
      <w:r>
        <w:rPr>
          <w:rStyle w:val="Znakapoznpodarou"/>
          <w:sz w:val="28"/>
          <w:szCs w:val="28"/>
        </w:rPr>
        <w:footnoteReference w:id="4"/>
      </w:r>
      <w:r>
        <w:rPr>
          <w:sz w:val="28"/>
          <w:szCs w:val="28"/>
        </w:rPr>
        <w:t xml:space="preserve">, kteří zohledňují dějinně-politický kontext starověké náboženské </w:t>
      </w:r>
      <w:proofErr w:type="gramStart"/>
      <w:r>
        <w:rPr>
          <w:sz w:val="28"/>
          <w:szCs w:val="28"/>
        </w:rPr>
        <w:t xml:space="preserve">literatury. </w:t>
      </w:r>
      <w:proofErr w:type="gramEnd"/>
      <w:r w:rsidR="005C4DFE">
        <w:rPr>
          <w:sz w:val="28"/>
          <w:szCs w:val="28"/>
        </w:rPr>
        <w:t xml:space="preserve">Podle této teorie je dost pravděpodobné, že obsah žalmů je inspirován konkrétními historickými událostmi. </w:t>
      </w:r>
    </w:p>
    <w:p w:rsidR="005C4DFE" w:rsidRDefault="005C4DFE" w:rsidP="0070548A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Eschatologický či lépe řečeno mesiášský diskurs je na jednu stranu nejblíže moderním religionistickým interpretacím významu staroorientálního krále pro židovské prostředí a teologickou tradici. V této interpretaci je nahlížen Jahve jako národní a zároveň světový Bůh, který má zvláštní vztah ke svému lidu, zjevný na preferenci davidovské </w:t>
      </w:r>
      <w:proofErr w:type="gramStart"/>
      <w:r>
        <w:rPr>
          <w:sz w:val="28"/>
          <w:szCs w:val="28"/>
        </w:rPr>
        <w:t xml:space="preserve">dynastie. </w:t>
      </w:r>
      <w:proofErr w:type="gramEnd"/>
      <w:r>
        <w:rPr>
          <w:sz w:val="28"/>
          <w:szCs w:val="28"/>
        </w:rPr>
        <w:t xml:space="preserve">Té je podobně jako jiným králům v jejich domovinách zaslíbena věčná vláda v Jeruzalémě. </w:t>
      </w:r>
    </w:p>
    <w:p w:rsidR="002B1DBA" w:rsidRDefault="00800F72" w:rsidP="002B1DBA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Zasazení královských žalmů do kultického života starověkého světa se dá odvozovat z komparativního materiálu jiných západosemitských kultur. K častým návrhům patří královský </w:t>
      </w:r>
      <w:proofErr w:type="spellStart"/>
      <w:r>
        <w:rPr>
          <w:sz w:val="28"/>
          <w:szCs w:val="28"/>
        </w:rPr>
        <w:t>sijónský</w:t>
      </w:r>
      <w:proofErr w:type="spellEnd"/>
      <w:r>
        <w:rPr>
          <w:sz w:val="28"/>
          <w:szCs w:val="28"/>
        </w:rPr>
        <w:t xml:space="preserve"> svátek nebo intronizace nového panovníka. </w:t>
      </w:r>
      <w:r w:rsidR="009154D0">
        <w:rPr>
          <w:sz w:val="28"/>
          <w:szCs w:val="28"/>
        </w:rPr>
        <w:t xml:space="preserve">V jednom případě se patrně setkáváme s národně přeznačeným královským svatebním rituálem. </w:t>
      </w:r>
    </w:p>
    <w:p w:rsidR="009154D0" w:rsidRDefault="002B1DBA" w:rsidP="002B1DB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54D0" w:rsidRPr="002B1DBA">
        <w:rPr>
          <w:sz w:val="28"/>
          <w:szCs w:val="28"/>
        </w:rPr>
        <w:t>Výše uvedené diskursy jsou na základě většího množství zpřístupněného materiálu</w:t>
      </w:r>
      <w:r w:rsidR="00BF7C6F" w:rsidRPr="002B1DBA">
        <w:rPr>
          <w:sz w:val="28"/>
          <w:szCs w:val="28"/>
        </w:rPr>
        <w:t xml:space="preserve"> a rozvoje sociálních věd</w:t>
      </w:r>
      <w:r w:rsidR="006D76F4">
        <w:rPr>
          <w:sz w:val="28"/>
          <w:szCs w:val="28"/>
        </w:rPr>
        <w:t xml:space="preserve"> v posledních deseti letech</w:t>
      </w:r>
      <w:r w:rsidR="009154D0" w:rsidRPr="002B1DBA">
        <w:rPr>
          <w:sz w:val="28"/>
          <w:szCs w:val="28"/>
        </w:rPr>
        <w:t xml:space="preserve"> doplněny o teorii sociální a kulturní paměti a národní svébytnosti starověkých civilizací.</w:t>
      </w:r>
      <w:r w:rsidR="009154D0">
        <w:rPr>
          <w:rStyle w:val="Znakapoznpodarou"/>
          <w:sz w:val="28"/>
          <w:szCs w:val="28"/>
        </w:rPr>
        <w:footnoteReference w:id="5"/>
      </w:r>
      <w:r w:rsidR="009154D0" w:rsidRPr="002B1DBA">
        <w:rPr>
          <w:sz w:val="28"/>
          <w:szCs w:val="28"/>
        </w:rPr>
        <w:t xml:space="preserve"> V souladu s touto úvahou pak zůstávalo v ústní tradici to, co která civilizace považovalo za stěžejní p</w:t>
      </w:r>
      <w:r w:rsidR="00BF7C6F" w:rsidRPr="002B1DBA">
        <w:rPr>
          <w:sz w:val="28"/>
          <w:szCs w:val="28"/>
        </w:rPr>
        <w:t xml:space="preserve">ro její budoucí vývoj a trvání a jako takové se královské žalmy představují současnému čtenáři a posluchači. </w:t>
      </w:r>
    </w:p>
    <w:p w:rsidR="008C1A71" w:rsidRPr="002B1DBA" w:rsidRDefault="008C1A71" w:rsidP="002B1DBA">
      <w:pPr>
        <w:ind w:left="360"/>
        <w:jc w:val="both"/>
        <w:rPr>
          <w:sz w:val="28"/>
          <w:szCs w:val="28"/>
        </w:rPr>
      </w:pPr>
      <w:bookmarkStart w:id="0" w:name="_GoBack"/>
      <w:r>
        <w:rPr>
          <w:noProof/>
          <w:lang w:eastAsia="cs-CZ" w:bidi="he-IL"/>
        </w:rPr>
        <w:lastRenderedPageBreak/>
        <w:drawing>
          <wp:inline distT="0" distB="0" distL="0" distR="0" wp14:anchorId="017C6331" wp14:editId="58A112FD">
            <wp:extent cx="5760720" cy="4320846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0548A" w:rsidRPr="00CE4679" w:rsidRDefault="0070548A" w:rsidP="00B3777F">
      <w:pPr>
        <w:jc w:val="both"/>
        <w:rPr>
          <w:sz w:val="28"/>
          <w:szCs w:val="28"/>
        </w:rPr>
      </w:pPr>
    </w:p>
    <w:p w:rsidR="00FB3A8F" w:rsidRDefault="00FB3A8F" w:rsidP="00B3777F">
      <w:pPr>
        <w:jc w:val="both"/>
        <w:rPr>
          <w:sz w:val="28"/>
          <w:szCs w:val="28"/>
        </w:rPr>
      </w:pPr>
    </w:p>
    <w:p w:rsidR="00B3777F" w:rsidRDefault="00B3777F" w:rsidP="00B3777F">
      <w:pPr>
        <w:jc w:val="both"/>
        <w:rPr>
          <w:sz w:val="28"/>
          <w:szCs w:val="28"/>
        </w:rPr>
      </w:pPr>
    </w:p>
    <w:p w:rsidR="00D0356A" w:rsidRDefault="00D0356A" w:rsidP="00B3777F">
      <w:pPr>
        <w:jc w:val="both"/>
      </w:pPr>
    </w:p>
    <w:sectPr w:rsidR="00D03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920" w:rsidRDefault="00433920" w:rsidP="00B3777F">
      <w:pPr>
        <w:spacing w:after="0" w:line="240" w:lineRule="auto"/>
      </w:pPr>
      <w:r>
        <w:separator/>
      </w:r>
    </w:p>
  </w:endnote>
  <w:endnote w:type="continuationSeparator" w:id="0">
    <w:p w:rsidR="00433920" w:rsidRDefault="00433920" w:rsidP="00B3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920" w:rsidRDefault="00433920" w:rsidP="00B3777F">
      <w:pPr>
        <w:spacing w:after="0" w:line="240" w:lineRule="auto"/>
      </w:pPr>
      <w:r>
        <w:separator/>
      </w:r>
    </w:p>
  </w:footnote>
  <w:footnote w:type="continuationSeparator" w:id="0">
    <w:p w:rsidR="00433920" w:rsidRDefault="00433920" w:rsidP="00B3777F">
      <w:pPr>
        <w:spacing w:after="0" w:line="240" w:lineRule="auto"/>
      </w:pPr>
      <w:r>
        <w:continuationSeparator/>
      </w:r>
    </w:p>
  </w:footnote>
  <w:footnote w:id="1">
    <w:p w:rsidR="00B3777F" w:rsidRPr="00594981" w:rsidRDefault="00B3777F" w:rsidP="00B3777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Znakapoznpodarou"/>
        </w:rPr>
        <w:footnoteRef/>
      </w:r>
      <w:r>
        <w:t xml:space="preserve"> Srov. například se studií  </w:t>
      </w:r>
      <w:r w:rsidRPr="00594981">
        <w:rPr>
          <w:rFonts w:asciiTheme="minorHAnsi" w:hAnsiTheme="minorHAnsi" w:cstheme="minorHAnsi"/>
          <w:sz w:val="20"/>
          <w:szCs w:val="20"/>
        </w:rPr>
        <w:t xml:space="preserve">RACKLEY, ROSANNA.  KINGSHIP, STRUGGLE, AND CREATION: THE STORY OF </w:t>
      </w:r>
      <w:r w:rsidRPr="00594981">
        <w:rPr>
          <w:rFonts w:asciiTheme="minorHAnsi" w:hAnsiTheme="minorHAnsi" w:cstheme="minorHAnsi"/>
          <w:i/>
          <w:iCs/>
          <w:sz w:val="20"/>
          <w:szCs w:val="20"/>
        </w:rPr>
        <w:t xml:space="preserve">CHAOSKAMPF. </w:t>
      </w:r>
      <w:r w:rsidRPr="00594981">
        <w:rPr>
          <w:rFonts w:asciiTheme="minorHAnsi" w:hAnsiTheme="minorHAnsi" w:cstheme="minorHAnsi"/>
          <w:sz w:val="20"/>
          <w:szCs w:val="20"/>
        </w:rPr>
        <w:t xml:space="preserve">University </w:t>
      </w:r>
      <w:proofErr w:type="spellStart"/>
      <w:r w:rsidRPr="00594981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594981">
        <w:rPr>
          <w:rFonts w:asciiTheme="minorHAnsi" w:hAnsiTheme="minorHAnsi" w:cstheme="minorHAnsi"/>
          <w:sz w:val="20"/>
          <w:szCs w:val="20"/>
        </w:rPr>
        <w:t xml:space="preserve"> Birmingham </w:t>
      </w:r>
      <w:proofErr w:type="spellStart"/>
      <w:r w:rsidRPr="00594981">
        <w:rPr>
          <w:rFonts w:asciiTheme="minorHAnsi" w:hAnsiTheme="minorHAnsi" w:cstheme="minorHAnsi"/>
          <w:sz w:val="20"/>
          <w:szCs w:val="20"/>
        </w:rPr>
        <w:t>September</w:t>
      </w:r>
      <w:proofErr w:type="spellEnd"/>
      <w:r w:rsidRPr="00594981">
        <w:rPr>
          <w:rFonts w:asciiTheme="minorHAnsi" w:hAnsiTheme="minorHAnsi" w:cstheme="minorHAnsi"/>
          <w:sz w:val="20"/>
          <w:szCs w:val="20"/>
        </w:rPr>
        <w:t xml:space="preserve"> 2014.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94981">
        <w:rPr>
          <w:rStyle w:val="CittHTML"/>
          <w:rFonts w:asciiTheme="minorHAnsi" w:hAnsiTheme="minorHAnsi" w:cstheme="minorHAnsi"/>
          <w:sz w:val="20"/>
          <w:szCs w:val="20"/>
        </w:rPr>
        <w:t>etheses.bham.ac.uk/6145/1/Rackley15MRes.pdf</w:t>
      </w:r>
      <w:r w:rsidRPr="00594981">
        <w:rPr>
          <w:rFonts w:asciiTheme="minorHAnsi" w:hAnsiTheme="minorHAnsi" w:cstheme="minorHAnsi"/>
          <w:sz w:val="20"/>
          <w:szCs w:val="20"/>
        </w:rPr>
        <w:t xml:space="preserve"> </w:t>
      </w:r>
      <w:r w:rsidRPr="00594981">
        <w:rPr>
          <w:sz w:val="20"/>
          <w:szCs w:val="20"/>
        </w:rPr>
        <w:t>/cit. 22.08.2018/</w:t>
      </w:r>
    </w:p>
  </w:footnote>
  <w:footnote w:id="2">
    <w:p w:rsidR="00B3777F" w:rsidRPr="00C13547" w:rsidRDefault="00B3777F" w:rsidP="00C13547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cs-CZ" w:bidi="he-IL"/>
        </w:rPr>
      </w:pPr>
      <w:r>
        <w:rPr>
          <w:rStyle w:val="Znakapoznpodarou"/>
        </w:rPr>
        <w:footnoteRef/>
      </w:r>
      <w:r w:rsidRPr="00F66AA8">
        <w:rPr>
          <w:rFonts w:cstheme="minorHAnsi"/>
          <w:sz w:val="20"/>
          <w:szCs w:val="20"/>
        </w:rPr>
        <w:t xml:space="preserve"> Na tomto místě zmiňujeme stále se rozvíjející problematiku tzv. </w:t>
      </w:r>
      <w:proofErr w:type="spellStart"/>
      <w:r w:rsidRPr="00F66AA8">
        <w:rPr>
          <w:rFonts w:cstheme="minorHAnsi"/>
          <w:sz w:val="20"/>
          <w:szCs w:val="20"/>
        </w:rPr>
        <w:t>mythmaking</w:t>
      </w:r>
      <w:proofErr w:type="spellEnd"/>
      <w:r w:rsidRPr="00F66AA8">
        <w:rPr>
          <w:rFonts w:cstheme="minorHAnsi"/>
          <w:sz w:val="20"/>
          <w:szCs w:val="20"/>
        </w:rPr>
        <w:t xml:space="preserve"> </w:t>
      </w:r>
      <w:proofErr w:type="spellStart"/>
      <w:r w:rsidRPr="00F66AA8">
        <w:rPr>
          <w:rFonts w:cstheme="minorHAnsi"/>
          <w:sz w:val="20"/>
          <w:szCs w:val="20"/>
        </w:rPr>
        <w:t>theory</w:t>
      </w:r>
      <w:proofErr w:type="spellEnd"/>
      <w:r w:rsidRPr="00F66AA8">
        <w:rPr>
          <w:rFonts w:cstheme="minorHAnsi"/>
          <w:sz w:val="20"/>
          <w:szCs w:val="20"/>
        </w:rPr>
        <w:t xml:space="preserve">. Viz např. </w:t>
      </w:r>
      <w:r>
        <w:rPr>
          <w:rFonts w:cstheme="minorHAnsi"/>
          <w:sz w:val="20"/>
          <w:szCs w:val="20"/>
        </w:rPr>
        <w:t xml:space="preserve">CALLENDER, </w:t>
      </w:r>
      <w:proofErr w:type="spellStart"/>
      <w:r>
        <w:rPr>
          <w:rFonts w:cstheme="minorHAnsi"/>
          <w:sz w:val="20"/>
          <w:szCs w:val="20"/>
        </w:rPr>
        <w:t>Dexter</w:t>
      </w:r>
      <w:proofErr w:type="spellEnd"/>
      <w:r>
        <w:rPr>
          <w:rFonts w:cstheme="minorHAnsi"/>
          <w:sz w:val="20"/>
          <w:szCs w:val="20"/>
        </w:rPr>
        <w:t xml:space="preserve"> E.</w:t>
      </w:r>
      <w:r w:rsidRPr="00F66AA8">
        <w:rPr>
          <w:rFonts w:cstheme="minorHAnsi"/>
          <w:sz w:val="20"/>
          <w:szCs w:val="20"/>
        </w:rPr>
        <w:t xml:space="preserve"> (Ed.). </w:t>
      </w:r>
      <w:r w:rsidRPr="00C13547">
        <w:rPr>
          <w:rFonts w:cstheme="minorHAnsi"/>
          <w:i/>
          <w:iCs/>
          <w:sz w:val="20"/>
          <w:szCs w:val="20"/>
        </w:rPr>
        <w:t xml:space="preserve">Myth and </w:t>
      </w:r>
      <w:proofErr w:type="spellStart"/>
      <w:r w:rsidRPr="00C13547">
        <w:rPr>
          <w:rFonts w:cstheme="minorHAnsi"/>
          <w:i/>
          <w:iCs/>
          <w:sz w:val="20"/>
          <w:szCs w:val="20"/>
        </w:rPr>
        <w:t>scripture</w:t>
      </w:r>
      <w:proofErr w:type="spellEnd"/>
      <w:r w:rsidRPr="00C13547">
        <w:rPr>
          <w:rFonts w:cstheme="minorHAnsi"/>
          <w:i/>
          <w:iCs/>
          <w:sz w:val="20"/>
          <w:szCs w:val="20"/>
        </w:rPr>
        <w:t xml:space="preserve"> : </w:t>
      </w:r>
      <w:proofErr w:type="spellStart"/>
      <w:r w:rsidRPr="00C13547">
        <w:rPr>
          <w:rFonts w:cstheme="minorHAnsi"/>
          <w:i/>
          <w:iCs/>
          <w:sz w:val="20"/>
          <w:szCs w:val="20"/>
        </w:rPr>
        <w:t>contemporary</w:t>
      </w:r>
      <w:proofErr w:type="spellEnd"/>
      <w:r w:rsidRPr="00C13547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C13547">
        <w:rPr>
          <w:rFonts w:cstheme="minorHAnsi"/>
          <w:i/>
          <w:iCs/>
          <w:sz w:val="20"/>
          <w:szCs w:val="20"/>
        </w:rPr>
        <w:t>perspectives</w:t>
      </w:r>
      <w:proofErr w:type="spellEnd"/>
      <w:r w:rsidRPr="00C13547">
        <w:rPr>
          <w:rFonts w:cstheme="minorHAnsi"/>
          <w:i/>
          <w:iCs/>
          <w:sz w:val="20"/>
          <w:szCs w:val="20"/>
        </w:rPr>
        <w:t xml:space="preserve"> on religion, </w:t>
      </w:r>
      <w:proofErr w:type="spellStart"/>
      <w:r w:rsidRPr="00C13547">
        <w:rPr>
          <w:rFonts w:cstheme="minorHAnsi"/>
          <w:i/>
          <w:iCs/>
          <w:sz w:val="20"/>
          <w:szCs w:val="20"/>
        </w:rPr>
        <w:t>language</w:t>
      </w:r>
      <w:proofErr w:type="spellEnd"/>
      <w:r w:rsidRPr="00C13547">
        <w:rPr>
          <w:rFonts w:cstheme="minorHAnsi"/>
          <w:i/>
          <w:iCs/>
          <w:sz w:val="20"/>
          <w:szCs w:val="20"/>
        </w:rPr>
        <w:t xml:space="preserve">, and </w:t>
      </w:r>
      <w:proofErr w:type="spellStart"/>
      <w:r w:rsidRPr="00C13547">
        <w:rPr>
          <w:rFonts w:cstheme="minorHAnsi"/>
          <w:i/>
          <w:iCs/>
          <w:sz w:val="20"/>
          <w:szCs w:val="20"/>
        </w:rPr>
        <w:t>imagination</w:t>
      </w:r>
      <w:proofErr w:type="spellEnd"/>
      <w:r w:rsidRPr="00C13547">
        <w:rPr>
          <w:rFonts w:cstheme="minorHAnsi"/>
          <w:i/>
          <w:iCs/>
          <w:sz w:val="20"/>
          <w:szCs w:val="20"/>
        </w:rPr>
        <w:t>,</w:t>
      </w:r>
      <w:r w:rsidRPr="00F66AA8">
        <w:rPr>
          <w:rFonts w:cstheme="minorHAnsi"/>
          <w:sz w:val="20"/>
          <w:szCs w:val="20"/>
        </w:rPr>
        <w:t xml:space="preserve"> </w:t>
      </w:r>
      <w:r w:rsidRPr="00F66AA8">
        <w:rPr>
          <w:rFonts w:eastAsia="Times New Roman" w:cstheme="minorHAnsi"/>
          <w:sz w:val="20"/>
          <w:szCs w:val="20"/>
          <w:lang w:eastAsia="cs-CZ" w:bidi="he-IL"/>
        </w:rPr>
        <w:t xml:space="preserve">Society </w:t>
      </w:r>
      <w:proofErr w:type="spellStart"/>
      <w:r w:rsidRPr="00F66AA8">
        <w:rPr>
          <w:rFonts w:eastAsia="Times New Roman" w:cstheme="minorHAnsi"/>
          <w:sz w:val="20"/>
          <w:szCs w:val="20"/>
          <w:lang w:eastAsia="cs-CZ" w:bidi="he-IL"/>
        </w:rPr>
        <w:t>of</w:t>
      </w:r>
      <w:proofErr w:type="spellEnd"/>
      <w:r w:rsidRPr="00F66AA8">
        <w:rPr>
          <w:rFonts w:eastAsia="Times New Roman" w:cstheme="minorHAnsi"/>
          <w:sz w:val="20"/>
          <w:szCs w:val="20"/>
          <w:lang w:eastAsia="cs-CZ" w:bidi="he-IL"/>
        </w:rPr>
        <w:t xml:space="preserve"> </w:t>
      </w:r>
      <w:proofErr w:type="spellStart"/>
      <w:r w:rsidRPr="00F66AA8">
        <w:rPr>
          <w:rFonts w:eastAsia="Times New Roman" w:cstheme="minorHAnsi"/>
          <w:sz w:val="20"/>
          <w:szCs w:val="20"/>
          <w:lang w:eastAsia="cs-CZ" w:bidi="he-IL"/>
        </w:rPr>
        <w:t>Biblical</w:t>
      </w:r>
      <w:proofErr w:type="spellEnd"/>
      <w:r w:rsidRPr="00F66AA8">
        <w:rPr>
          <w:rFonts w:eastAsia="Times New Roman" w:cstheme="minorHAnsi"/>
          <w:sz w:val="20"/>
          <w:szCs w:val="20"/>
          <w:lang w:eastAsia="cs-CZ" w:bidi="he-IL"/>
        </w:rPr>
        <w:t xml:space="preserve"> </w:t>
      </w:r>
      <w:proofErr w:type="spellStart"/>
      <w:r w:rsidRPr="00F66AA8">
        <w:rPr>
          <w:rFonts w:eastAsia="Times New Roman" w:cstheme="minorHAnsi"/>
          <w:sz w:val="20"/>
          <w:szCs w:val="20"/>
          <w:lang w:eastAsia="cs-CZ" w:bidi="he-IL"/>
        </w:rPr>
        <w:t>literature</w:t>
      </w:r>
      <w:proofErr w:type="spellEnd"/>
      <w:r w:rsidRPr="00F66AA8">
        <w:rPr>
          <w:rFonts w:eastAsia="Times New Roman" w:cstheme="minorHAnsi"/>
          <w:sz w:val="20"/>
          <w:szCs w:val="20"/>
          <w:lang w:eastAsia="cs-CZ" w:bidi="he-IL"/>
        </w:rPr>
        <w:t xml:space="preserve"> </w:t>
      </w:r>
      <w:proofErr w:type="spellStart"/>
      <w:r w:rsidRPr="00F66AA8">
        <w:rPr>
          <w:rFonts w:eastAsia="Times New Roman" w:cstheme="minorHAnsi"/>
          <w:sz w:val="20"/>
          <w:szCs w:val="20"/>
          <w:lang w:eastAsia="cs-CZ" w:bidi="he-IL"/>
        </w:rPr>
        <w:t>resources</w:t>
      </w:r>
      <w:proofErr w:type="spellEnd"/>
      <w:r w:rsidRPr="00F66AA8">
        <w:rPr>
          <w:rFonts w:eastAsia="Times New Roman" w:cstheme="minorHAnsi"/>
          <w:sz w:val="20"/>
          <w:szCs w:val="20"/>
          <w:lang w:eastAsia="cs-CZ" w:bidi="he-IL"/>
        </w:rPr>
        <w:t xml:space="preserve"> </w:t>
      </w:r>
      <w:proofErr w:type="spellStart"/>
      <w:r w:rsidR="0070548A">
        <w:rPr>
          <w:rFonts w:eastAsia="Times New Roman" w:cstheme="minorHAnsi"/>
          <w:sz w:val="20"/>
          <w:szCs w:val="20"/>
          <w:lang w:eastAsia="cs-CZ" w:bidi="he-IL"/>
        </w:rPr>
        <w:t>for</w:t>
      </w:r>
      <w:proofErr w:type="spellEnd"/>
      <w:r w:rsidR="0070548A">
        <w:rPr>
          <w:rFonts w:eastAsia="Times New Roman" w:cstheme="minorHAnsi"/>
          <w:sz w:val="20"/>
          <w:szCs w:val="20"/>
          <w:lang w:eastAsia="cs-CZ" w:bidi="he-IL"/>
        </w:rPr>
        <w:t xml:space="preserve"> </w:t>
      </w:r>
      <w:proofErr w:type="spellStart"/>
      <w:r w:rsidR="0070548A">
        <w:rPr>
          <w:rFonts w:eastAsia="Times New Roman" w:cstheme="minorHAnsi"/>
          <w:sz w:val="20"/>
          <w:szCs w:val="20"/>
          <w:lang w:eastAsia="cs-CZ" w:bidi="he-IL"/>
        </w:rPr>
        <w:t>biblical</w:t>
      </w:r>
      <w:proofErr w:type="spellEnd"/>
      <w:r w:rsidR="0070548A">
        <w:rPr>
          <w:rFonts w:eastAsia="Times New Roman" w:cstheme="minorHAnsi"/>
          <w:sz w:val="20"/>
          <w:szCs w:val="20"/>
          <w:lang w:eastAsia="cs-CZ" w:bidi="he-IL"/>
        </w:rPr>
        <w:t xml:space="preserve"> study</w:t>
      </w:r>
      <w:r w:rsidRPr="00F66AA8">
        <w:rPr>
          <w:rFonts w:eastAsia="Times New Roman" w:cstheme="minorHAnsi"/>
          <w:sz w:val="20"/>
          <w:szCs w:val="20"/>
          <w:lang w:eastAsia="cs-CZ" w:bidi="he-IL"/>
        </w:rPr>
        <w:t xml:space="preserve">; </w:t>
      </w:r>
      <w:proofErr w:type="spellStart"/>
      <w:r w:rsidRPr="00F66AA8">
        <w:rPr>
          <w:rFonts w:eastAsia="Times New Roman" w:cstheme="minorHAnsi"/>
          <w:sz w:val="20"/>
          <w:szCs w:val="20"/>
          <w:lang w:eastAsia="cs-CZ" w:bidi="he-IL"/>
        </w:rPr>
        <w:t>number</w:t>
      </w:r>
      <w:proofErr w:type="spellEnd"/>
      <w:r w:rsidRPr="00F66AA8">
        <w:rPr>
          <w:rFonts w:eastAsia="Times New Roman" w:cstheme="minorHAnsi"/>
          <w:sz w:val="20"/>
          <w:szCs w:val="20"/>
          <w:lang w:eastAsia="cs-CZ" w:bidi="he-IL"/>
        </w:rPr>
        <w:t xml:space="preserve"> 78, 2014. ISBN 978-1-58983-962-5 (</w:t>
      </w:r>
      <w:proofErr w:type="spellStart"/>
      <w:r w:rsidRPr="00F66AA8">
        <w:rPr>
          <w:rFonts w:eastAsia="Times New Roman" w:cstheme="minorHAnsi"/>
          <w:sz w:val="20"/>
          <w:szCs w:val="20"/>
          <w:lang w:eastAsia="cs-CZ" w:bidi="he-IL"/>
        </w:rPr>
        <w:t>electronic</w:t>
      </w:r>
      <w:proofErr w:type="spellEnd"/>
      <w:r w:rsidRPr="00F66AA8">
        <w:rPr>
          <w:rFonts w:eastAsia="Times New Roman" w:cstheme="minorHAnsi"/>
          <w:sz w:val="20"/>
          <w:szCs w:val="20"/>
          <w:lang w:eastAsia="cs-CZ" w:bidi="he-IL"/>
        </w:rPr>
        <w:t xml:space="preserve"> </w:t>
      </w:r>
      <w:proofErr w:type="spellStart"/>
      <w:r w:rsidRPr="00F66AA8">
        <w:rPr>
          <w:rFonts w:eastAsia="Times New Roman" w:cstheme="minorHAnsi"/>
          <w:sz w:val="20"/>
          <w:szCs w:val="20"/>
          <w:lang w:eastAsia="cs-CZ" w:bidi="he-IL"/>
        </w:rPr>
        <w:t>format</w:t>
      </w:r>
      <w:proofErr w:type="spellEnd"/>
      <w:r w:rsidRPr="00F66AA8">
        <w:rPr>
          <w:rFonts w:eastAsia="Times New Roman" w:cstheme="minorHAnsi"/>
          <w:sz w:val="20"/>
          <w:szCs w:val="20"/>
          <w:lang w:eastAsia="cs-CZ" w:bidi="he-IL"/>
        </w:rPr>
        <w:t>).</w:t>
      </w:r>
    </w:p>
  </w:footnote>
  <w:footnote w:id="3">
    <w:p w:rsidR="00C13547" w:rsidRPr="00C13547" w:rsidRDefault="00C13547" w:rsidP="00C13547">
      <w:pPr>
        <w:pStyle w:val="Textpoznpodarou"/>
        <w:jc w:val="both"/>
        <w:rPr>
          <w:i/>
          <w:iCs/>
        </w:rPr>
      </w:pPr>
      <w:r>
        <w:rPr>
          <w:rStyle w:val="Znakapoznpodarou"/>
        </w:rPr>
        <w:footnoteRef/>
      </w:r>
      <w:r>
        <w:t xml:space="preserve"> Srov. BERLEJUNG, Angelika.</w:t>
      </w:r>
      <w:r w:rsidR="001A0EDA">
        <w:t xml:space="preserve"> </w:t>
      </w:r>
      <w:r>
        <w:rPr>
          <w:i/>
          <w:iCs/>
        </w:rPr>
        <w:t xml:space="preserve">Náboženské dějiny starověkého Izraele, </w:t>
      </w:r>
      <w:r>
        <w:t>Praha: Vyšehrad</w:t>
      </w:r>
      <w:r w:rsidRPr="00C13547">
        <w:t xml:space="preserve"> 2017</w:t>
      </w:r>
      <w:r>
        <w:rPr>
          <w:i/>
          <w:iCs/>
        </w:rPr>
        <w:t xml:space="preserve">. </w:t>
      </w:r>
    </w:p>
  </w:footnote>
  <w:footnote w:id="4">
    <w:p w:rsidR="0070548A" w:rsidRDefault="0070548A" w:rsidP="0070548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Srov. TUGENDHAFT, Aaron. </w:t>
      </w:r>
      <w:proofErr w:type="spellStart"/>
      <w:r w:rsidRPr="0070548A">
        <w:rPr>
          <w:i/>
          <w:iCs/>
        </w:rPr>
        <w:t>Baal</w:t>
      </w:r>
      <w:proofErr w:type="spellEnd"/>
      <w:r w:rsidRPr="0070548A">
        <w:rPr>
          <w:i/>
          <w:iCs/>
        </w:rPr>
        <w:t xml:space="preserve"> and </w:t>
      </w:r>
      <w:proofErr w:type="spellStart"/>
      <w:r w:rsidRPr="0070548A">
        <w:rPr>
          <w:i/>
          <w:iCs/>
        </w:rPr>
        <w:t>the</w:t>
      </w:r>
      <w:proofErr w:type="spellEnd"/>
      <w:r w:rsidRPr="0070548A">
        <w:rPr>
          <w:i/>
          <w:iCs/>
        </w:rPr>
        <w:t xml:space="preserve"> </w:t>
      </w:r>
      <w:proofErr w:type="spellStart"/>
      <w:r w:rsidRPr="0070548A">
        <w:rPr>
          <w:i/>
          <w:iCs/>
        </w:rPr>
        <w:t>politics</w:t>
      </w:r>
      <w:proofErr w:type="spellEnd"/>
      <w:r w:rsidRPr="0070548A">
        <w:rPr>
          <w:i/>
          <w:iCs/>
        </w:rPr>
        <w:t xml:space="preserve"> </w:t>
      </w:r>
      <w:proofErr w:type="spellStart"/>
      <w:r w:rsidRPr="0070548A">
        <w:rPr>
          <w:i/>
          <w:iCs/>
        </w:rPr>
        <w:t>of</w:t>
      </w:r>
      <w:proofErr w:type="spellEnd"/>
      <w:r w:rsidRPr="0070548A">
        <w:rPr>
          <w:i/>
          <w:iCs/>
        </w:rPr>
        <w:t xml:space="preserve"> </w:t>
      </w:r>
      <w:proofErr w:type="spellStart"/>
      <w:r w:rsidRPr="0070548A">
        <w:rPr>
          <w:i/>
          <w:iCs/>
        </w:rPr>
        <w:t>poetry</w:t>
      </w:r>
      <w:proofErr w:type="spellEnd"/>
      <w:r w:rsidRPr="0070548A">
        <w:rPr>
          <w:i/>
          <w:iCs/>
        </w:rPr>
        <w:t>.</w:t>
      </w:r>
      <w:r>
        <w:t xml:space="preserve"> London; New York 2018. </w:t>
      </w:r>
    </w:p>
  </w:footnote>
  <w:footnote w:id="5">
    <w:p w:rsidR="009154D0" w:rsidRDefault="009154D0" w:rsidP="00010C4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Srov. pohledy Jana </w:t>
      </w:r>
      <w:proofErr w:type="spellStart"/>
      <w:r>
        <w:t>Assmanna</w:t>
      </w:r>
      <w:proofErr w:type="spellEnd"/>
      <w:r>
        <w:t xml:space="preserve">, </w:t>
      </w:r>
      <w:proofErr w:type="spellStart"/>
      <w:r>
        <w:t>Craiga</w:t>
      </w:r>
      <w:proofErr w:type="spellEnd"/>
      <w:r>
        <w:t xml:space="preserve"> </w:t>
      </w:r>
      <w:proofErr w:type="spellStart"/>
      <w:r>
        <w:t>Broyla</w:t>
      </w:r>
      <w:proofErr w:type="spellEnd"/>
      <w:r>
        <w:t xml:space="preserve"> atd. </w:t>
      </w:r>
      <w:r w:rsidR="00010C41">
        <w:t xml:space="preserve">BROYLES, </w:t>
      </w:r>
      <w:proofErr w:type="spellStart"/>
      <w:r w:rsidR="00010C41">
        <w:t>Craig</w:t>
      </w:r>
      <w:proofErr w:type="spellEnd"/>
      <w:r w:rsidR="00010C41">
        <w:t xml:space="preserve">. C. </w:t>
      </w:r>
      <w:proofErr w:type="spellStart"/>
      <w:r w:rsidR="00010C41" w:rsidRPr="00010C41">
        <w:rPr>
          <w:i/>
          <w:iCs/>
        </w:rPr>
        <w:t>Psalms</w:t>
      </w:r>
      <w:proofErr w:type="spellEnd"/>
      <w:r w:rsidR="00010C41">
        <w:t xml:space="preserve">. </w:t>
      </w:r>
      <w:proofErr w:type="spellStart"/>
      <w:r w:rsidR="00010C41">
        <w:t>Baker</w:t>
      </w:r>
      <w:proofErr w:type="spellEnd"/>
      <w:r w:rsidR="00010C41">
        <w:t xml:space="preserve"> </w:t>
      </w:r>
      <w:proofErr w:type="spellStart"/>
      <w:r w:rsidR="00010C41">
        <w:t>Books</w:t>
      </w:r>
      <w:proofErr w:type="spellEnd"/>
      <w:r w:rsidR="00010C41">
        <w:t xml:space="preserve"> 1999, 2. vyd. 2012.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436FA"/>
    <w:multiLevelType w:val="hybridMultilevel"/>
    <w:tmpl w:val="60BA2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9B4FA4"/>
    <w:multiLevelType w:val="hybridMultilevel"/>
    <w:tmpl w:val="8674A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7F"/>
    <w:rsid w:val="00010C41"/>
    <w:rsid w:val="001A0EDA"/>
    <w:rsid w:val="002B1DBA"/>
    <w:rsid w:val="00433920"/>
    <w:rsid w:val="00481F28"/>
    <w:rsid w:val="00563487"/>
    <w:rsid w:val="005C4DFE"/>
    <w:rsid w:val="00646F7C"/>
    <w:rsid w:val="006C6387"/>
    <w:rsid w:val="006D76F4"/>
    <w:rsid w:val="0070548A"/>
    <w:rsid w:val="00776F0D"/>
    <w:rsid w:val="00800F72"/>
    <w:rsid w:val="008A1E76"/>
    <w:rsid w:val="008C1A71"/>
    <w:rsid w:val="009154D0"/>
    <w:rsid w:val="00B3777F"/>
    <w:rsid w:val="00BF7C6F"/>
    <w:rsid w:val="00C13547"/>
    <w:rsid w:val="00CE4679"/>
    <w:rsid w:val="00D0356A"/>
    <w:rsid w:val="00DD76C5"/>
    <w:rsid w:val="00FB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777F"/>
    <w:rPr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77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777F"/>
    <w:rPr>
      <w:sz w:val="20"/>
      <w:szCs w:val="20"/>
      <w:lang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B3777F"/>
    <w:rPr>
      <w:vertAlign w:val="superscript"/>
    </w:rPr>
  </w:style>
  <w:style w:type="paragraph" w:customStyle="1" w:styleId="Default">
    <w:name w:val="Default"/>
    <w:rsid w:val="00B377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ittHTML">
    <w:name w:val="HTML Cite"/>
    <w:basedOn w:val="Standardnpsmoodstavce"/>
    <w:uiPriority w:val="99"/>
    <w:semiHidden/>
    <w:unhideWhenUsed/>
    <w:rsid w:val="00B3777F"/>
    <w:rPr>
      <w:i/>
      <w:iCs/>
    </w:rPr>
  </w:style>
  <w:style w:type="paragraph" w:styleId="Odstavecseseznamem">
    <w:name w:val="List Paragraph"/>
    <w:basedOn w:val="Normln"/>
    <w:uiPriority w:val="34"/>
    <w:qFormat/>
    <w:rsid w:val="0070548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C1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1A71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777F"/>
    <w:rPr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77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777F"/>
    <w:rPr>
      <w:sz w:val="20"/>
      <w:szCs w:val="20"/>
      <w:lang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B3777F"/>
    <w:rPr>
      <w:vertAlign w:val="superscript"/>
    </w:rPr>
  </w:style>
  <w:style w:type="paragraph" w:customStyle="1" w:styleId="Default">
    <w:name w:val="Default"/>
    <w:rsid w:val="00B377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ittHTML">
    <w:name w:val="HTML Cite"/>
    <w:basedOn w:val="Standardnpsmoodstavce"/>
    <w:uiPriority w:val="99"/>
    <w:semiHidden/>
    <w:unhideWhenUsed/>
    <w:rsid w:val="00B3777F"/>
    <w:rPr>
      <w:i/>
      <w:iCs/>
    </w:rPr>
  </w:style>
  <w:style w:type="paragraph" w:styleId="Odstavecseseznamem">
    <w:name w:val="List Paragraph"/>
    <w:basedOn w:val="Normln"/>
    <w:uiPriority w:val="34"/>
    <w:qFormat/>
    <w:rsid w:val="0070548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C1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1A71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B82C-6931-4C7C-B85C-A2159D1D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ThDr., Th.D. Eva Vymětalová-Hrabáková</cp:lastModifiedBy>
  <cp:revision>2</cp:revision>
  <dcterms:created xsi:type="dcterms:W3CDTF">2019-05-02T06:58:00Z</dcterms:created>
  <dcterms:modified xsi:type="dcterms:W3CDTF">2019-05-02T06:58:00Z</dcterms:modified>
</cp:coreProperties>
</file>