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8AC" w:rsidRPr="00205F79" w:rsidRDefault="00C678AC" w:rsidP="00205F79">
      <w:pPr>
        <w:spacing w:after="120" w:line="360" w:lineRule="auto"/>
        <w:ind w:right="-6"/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</w:pPr>
      <w:r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GERMANY AND FRANCE: POLICY PROPOSAL</w:t>
      </w:r>
    </w:p>
    <w:p w:rsidR="00C678AC" w:rsidRPr="00205F79" w:rsidRDefault="00FC5648" w:rsidP="00205F79">
      <w:pPr>
        <w:spacing w:after="120" w:line="360" w:lineRule="auto"/>
        <w:ind w:right="-6"/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</w:pPr>
      <w:r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A “</w:t>
      </w:r>
      <w:r w:rsidR="00C678AC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New </w:t>
      </w:r>
      <w:r w:rsidR="00B64250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Approach</w:t>
      </w:r>
      <w:r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”</w:t>
      </w:r>
      <w:r w:rsidR="00B64250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 to the </w:t>
      </w:r>
      <w:r w:rsidR="007264C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sustainable </w:t>
      </w:r>
      <w:r w:rsidR="00B64250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Common European Asylum System (CEAS)</w:t>
      </w:r>
    </w:p>
    <w:p w:rsidR="00205F79" w:rsidRDefault="00205F79" w:rsidP="00205F79">
      <w:pPr>
        <w:spacing w:after="120" w:line="360" w:lineRule="auto"/>
        <w:ind w:right="-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</w:pPr>
    </w:p>
    <w:p w:rsidR="002F4574" w:rsidRPr="00205F79" w:rsidRDefault="00C678AC" w:rsidP="00205F79">
      <w:pPr>
        <w:spacing w:after="120" w:line="360" w:lineRule="auto"/>
        <w:ind w:right="-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</w:pP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In light of the long-blocked </w:t>
      </w:r>
      <w:r w:rsidR="007F72D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and unfruitful </w:t>
      </w: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negotiations about the reform of the </w:t>
      </w:r>
      <w:r w:rsidR="00087BBB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Common European Asylum System (hereinafter </w:t>
      </w:r>
      <w:r w:rsidR="002E156A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referred</w:t>
      </w:r>
      <w:r w:rsidR="00087BBB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to as CEAS)</w:t>
      </w: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, </w:t>
      </w:r>
      <w:r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Germany and France have decided to come up with their own </w:t>
      </w:r>
      <w:r w:rsidR="00087BBB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P</w:t>
      </w:r>
      <w:r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olicy </w:t>
      </w:r>
      <w:r w:rsidR="00087BBB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P</w:t>
      </w:r>
      <w:r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roposal</w:t>
      </w: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to improve the current, non-functioning</w:t>
      </w:r>
      <w:r w:rsidR="00087BBB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system based predominantly on the Dublin Regulations. </w:t>
      </w: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By this</w:t>
      </w:r>
      <w:r w:rsidR="00A91C1D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, </w:t>
      </w:r>
      <w:r w:rsidR="00087BBB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our countries</w:t>
      </w:r>
      <w:r w:rsidR="00A91C1D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</w:t>
      </w:r>
      <w:r w:rsidR="00087BBB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also </w:t>
      </w:r>
      <w:r w:rsidR="00A91C1D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want to react on the fact, that the European Commission has given up on completing the reform of the </w:t>
      </w:r>
      <w:r w:rsidR="00087BBB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CEAS</w:t>
      </w:r>
      <w:r w:rsidR="00A91C1D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in December last year</w:t>
      </w:r>
      <w:r w:rsidR="005B43BA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.</w:t>
      </w:r>
    </w:p>
    <w:p w:rsidR="00C678AC" w:rsidRPr="000D74D9" w:rsidRDefault="00C678AC" w:rsidP="00205F79">
      <w:pPr>
        <w:spacing w:after="120" w:line="360" w:lineRule="auto"/>
        <w:ind w:right="-6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</w:pP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We </w:t>
      </w:r>
      <w:r w:rsidR="00A91C1D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are </w:t>
      </w:r>
      <w:r w:rsidR="005B43BA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well </w:t>
      </w:r>
      <w:r w:rsidR="00A91C1D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aware </w:t>
      </w:r>
      <w:r w:rsidR="005B43BA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of the fact, that the current situation around migrants and refugees, located predominantly in the Southern European countries</w:t>
      </w:r>
      <w:r w:rsidR="001420EF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,</w:t>
      </w:r>
      <w:r w:rsidR="005B43BA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has revealed significant structural weaknesses in both, </w:t>
      </w:r>
      <w:r w:rsidR="00087BBB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the</w:t>
      </w:r>
      <w:r w:rsidR="005B43BA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design and implementation of the CEAS and of the Dublin III Regulation regime. S</w:t>
      </w:r>
      <w:r w:rsidR="002F4574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imultaneously, we </w:t>
      </w:r>
      <w:r w:rsidR="00087BBB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perceive</w:t>
      </w:r>
      <w:r w:rsidR="002F4574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that</w:t>
      </w: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all </w:t>
      </w:r>
      <w:r w:rsidR="000B5D2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hitherto</w:t>
      </w: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failures to reform the </w:t>
      </w:r>
      <w:r w:rsidR="002F4574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CEAS and the </w:t>
      </w: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Dublin III Regulation are obvious indications of the disaggregating and nationalistic pulsion spreading across the Union and show that not </w:t>
      </w:r>
      <w:r w:rsidR="00087BBB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the </w:t>
      </w: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migration and refugees</w:t>
      </w:r>
      <w:r w:rsidR="00087BBB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themselves</w:t>
      </w: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, but the incapacity to elaborate a </w:t>
      </w:r>
      <w:r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common </w:t>
      </w:r>
      <w:r w:rsidR="00912010"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solution </w:t>
      </w:r>
      <w:r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to migration based on balanced responsibilities is the main problem at the moment.</w:t>
      </w:r>
      <w:r w:rsidR="00A20A2D"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In </w:t>
      </w:r>
      <w:r w:rsidR="00205F79"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other words, </w:t>
      </w:r>
      <w:r w:rsidR="00205F79" w:rsidRPr="000D74D9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the situation is not</w:t>
      </w:r>
      <w:r w:rsidR="000D74D9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 xml:space="preserve"> </w:t>
      </w:r>
      <w:r w:rsidR="00205F79" w:rsidRPr="000D74D9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 xml:space="preserve">one </w:t>
      </w:r>
      <w:r w:rsidR="000D74D9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about</w:t>
      </w:r>
      <w:r w:rsidR="00205F79" w:rsidRPr="000D74D9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 xml:space="preserve"> numbers and migrants but one </w:t>
      </w:r>
      <w:r w:rsidR="000D74D9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about</w:t>
      </w:r>
      <w:r w:rsidR="00205F79" w:rsidRPr="000D74D9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 xml:space="preserve"> trust and mistrust.</w:t>
      </w:r>
    </w:p>
    <w:p w:rsidR="00C678AC" w:rsidRPr="000D74D9" w:rsidRDefault="00087BBB" w:rsidP="00205F79">
      <w:pPr>
        <w:spacing w:after="120" w:line="360" w:lineRule="auto"/>
        <w:ind w:right="-6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</w:pP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As of today, the European Union has not found a common agreement on the long-needed reform of the CEAS, despite some valuable attempts, and thus, </w:t>
      </w:r>
      <w:r w:rsidRPr="000D74D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Germany and France come up with their own inputs and suggestions.</w:t>
      </w: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Since</w:t>
      </w:r>
      <w:r w:rsidR="00A91C1D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all unsuccessful reform plans and attempts have </w:t>
      </w:r>
      <w:r w:rsidR="001420EF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shown</w:t>
      </w:r>
      <w:r w:rsidR="00A91C1D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, </w:t>
      </w: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that </w:t>
      </w:r>
      <w:r w:rsidR="00A91C1D" w:rsidRPr="000D74D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the legislation alone is insufficient to manage both the current situation and the prospective migrant flows</w:t>
      </w:r>
      <w:r w:rsidRPr="000D74D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, </w:t>
      </w:r>
      <w:r w:rsidRPr="000D74D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we have decided to propose </w:t>
      </w:r>
      <w:r w:rsidRPr="000D74D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a balanced mixture of the legislative</w:t>
      </w:r>
      <w:r w:rsidR="00CF5FDF" w:rsidRPr="000D74D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 </w:t>
      </w:r>
      <w:r w:rsidR="00096E2D" w:rsidRPr="000D74D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proposals</w:t>
      </w:r>
      <w:r w:rsidRPr="000D74D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 </w:t>
      </w:r>
      <w:r w:rsidR="00096E2D" w:rsidRPr="000D74D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and practical </w:t>
      </w:r>
      <w:r w:rsidRPr="000D74D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political steps, </w:t>
      </w:r>
      <w:r w:rsidR="0023413A" w:rsidRPr="000D74D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which</w:t>
      </w:r>
      <w:r w:rsidRPr="000D74D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 </w:t>
      </w:r>
      <w:r w:rsidR="007264C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seek to</w:t>
      </w:r>
      <w:r w:rsidRPr="000D74D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 contribute to the common agreement </w:t>
      </w:r>
      <w:r w:rsidR="0023413A" w:rsidRPr="000D74D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and </w:t>
      </w:r>
      <w:r w:rsidR="001420EF" w:rsidRPr="000D74D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which go as follows</w:t>
      </w:r>
      <w:r w:rsidR="00C678AC" w:rsidRPr="000D74D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:</w:t>
      </w:r>
    </w:p>
    <w:p w:rsidR="00AC3B7F" w:rsidRPr="00205F79" w:rsidRDefault="0023413A" w:rsidP="00205F79">
      <w:pPr>
        <w:pStyle w:val="Odsekzoznamu"/>
        <w:numPr>
          <w:ilvl w:val="0"/>
          <w:numId w:val="1"/>
        </w:numPr>
        <w:spacing w:after="120" w:line="360" w:lineRule="auto"/>
        <w:ind w:right="-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</w:pP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We call upon </w:t>
      </w:r>
      <w:r w:rsidR="00096E2D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all</w:t>
      </w: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EU Member States </w:t>
      </w:r>
      <w:r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to adopt the e</w:t>
      </w:r>
      <w:r w:rsidR="00AC3B7F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xact definitions and </w:t>
      </w:r>
      <w:r w:rsidR="00A20A2D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clear </w:t>
      </w:r>
      <w:r w:rsidR="00AC3B7F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distinction</w:t>
      </w:r>
      <w:r w:rsidR="001420EF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s</w:t>
      </w:r>
      <w:r w:rsidR="00AC3B7F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 between the terms</w:t>
      </w:r>
      <w:r w:rsidR="001420EF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 </w:t>
      </w:r>
      <w:r w:rsidR="00AC3B7F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describing illegal economic migrants and asylum seekers</w:t>
      </w:r>
      <w:r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.</w:t>
      </w: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T</w:t>
      </w:r>
      <w:r w:rsidR="001420EF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h</w:t>
      </w:r>
      <w:r w:rsidR="00FC5648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ese</w:t>
      </w:r>
      <w:r w:rsidR="001420EF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d</w:t>
      </w:r>
      <w:r w:rsidR="00FC5648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efinitions</w:t>
      </w:r>
      <w:r w:rsidR="001420EF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should be </w:t>
      </w:r>
      <w:r w:rsidR="00AC3B7F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adopt</w:t>
      </w:r>
      <w:r w:rsidR="001420EF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ed</w:t>
      </w:r>
      <w:r w:rsidR="00AC3B7F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</w:t>
      </w:r>
      <w:r w:rsidR="00096E2D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unanimously </w:t>
      </w:r>
      <w:r w:rsidR="00AC3B7F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on the European level</w:t>
      </w: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and incorporated to the EU law system</w:t>
      </w:r>
      <w:r w:rsidR="00096E2D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in order to avoid </w:t>
      </w:r>
      <w:r w:rsidR="007264C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future </w:t>
      </w:r>
      <w:r w:rsidR="00096E2D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discrepancies </w:t>
      </w:r>
      <w:r w:rsidR="00A20A2D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and inconsistencies </w:t>
      </w:r>
      <w:r w:rsidR="00096E2D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in </w:t>
      </w:r>
      <w:r w:rsidR="007264C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our </w:t>
      </w:r>
      <w:r w:rsidR="00096E2D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approach;</w:t>
      </w:r>
    </w:p>
    <w:p w:rsidR="00AC3B7F" w:rsidRPr="00205F79" w:rsidRDefault="0023413A" w:rsidP="00205F79">
      <w:pPr>
        <w:pStyle w:val="Odsekzoznamu"/>
        <w:numPr>
          <w:ilvl w:val="0"/>
          <w:numId w:val="1"/>
        </w:numPr>
        <w:spacing w:after="120" w:line="360" w:lineRule="auto"/>
        <w:ind w:right="-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</w:pP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We uphold </w:t>
      </w:r>
      <w:r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s</w:t>
      </w:r>
      <w:r w:rsidR="00AC3B7F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trong</w:t>
      </w:r>
      <w:r w:rsidR="001420EF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er</w:t>
      </w:r>
      <w:r w:rsidR="00AC3B7F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 readmission policy in relation to the migrants that demonstrably do not come from the territories</w:t>
      </w:r>
      <w:r w:rsidR="00096E2D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 </w:t>
      </w:r>
      <w:r w:rsidR="00AC3B7F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afflicted by war, persecution, famine, genocide, etc.</w:t>
      </w:r>
      <w:r w:rsidR="00AC3B7F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We consider this step for </w:t>
      </w: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strict</w:t>
      </w:r>
      <w:r w:rsidR="00096E2D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</w:t>
      </w:r>
      <w:r w:rsidR="00AC3B7F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but at the same time</w:t>
      </w: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, </w:t>
      </w:r>
      <w:r w:rsidR="00AC3B7F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the most effective way </w:t>
      </w: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how </w:t>
      </w:r>
      <w:r w:rsidR="00AC3B7F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to tackle the economic migration and by that </w:t>
      </w:r>
      <w:r w:rsidR="001420EF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we aim to </w:t>
      </w:r>
      <w:r w:rsidR="00AC3B7F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decrease the pressure for</w:t>
      </w:r>
      <w:r w:rsidR="001420EF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</w:t>
      </w:r>
      <w:r w:rsidR="00AC3B7F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countries, mostly aff</w:t>
      </w:r>
      <w:r w:rsidR="00096E2D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e</w:t>
      </w:r>
      <w:r w:rsidR="00AC3B7F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cted by </w:t>
      </w:r>
      <w:r w:rsidR="00096E2D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the </w:t>
      </w:r>
      <w:r w:rsidR="00AC3B7F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migration</w:t>
      </w:r>
      <w:r w:rsidR="001420EF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flows</w:t>
      </w: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, especially Italy and Greece;</w:t>
      </w:r>
    </w:p>
    <w:p w:rsidR="001420EF" w:rsidRPr="00205F79" w:rsidRDefault="0023413A" w:rsidP="007264C5">
      <w:pPr>
        <w:pStyle w:val="Odsekzoznamu"/>
        <w:numPr>
          <w:ilvl w:val="0"/>
          <w:numId w:val="1"/>
        </w:numPr>
        <w:spacing w:after="120" w:line="360" w:lineRule="auto"/>
        <w:ind w:right="-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</w:pP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We call upon </w:t>
      </w:r>
      <w:r w:rsidR="00096E2D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all EU Member States </w:t>
      </w:r>
      <w:r w:rsidR="00096E2D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to adopt </w:t>
      </w:r>
      <w:r w:rsidR="00FC5648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the </w:t>
      </w:r>
      <w:r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e</w:t>
      </w:r>
      <w:r w:rsidR="00C21523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xact definition of </w:t>
      </w:r>
      <w:r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all </w:t>
      </w:r>
      <w:r w:rsidR="00C21523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appropriate procedures</w:t>
      </w:r>
      <w:r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, which need to be administrated by the bodies </w:t>
      </w:r>
      <w:r w:rsidR="00C21523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in the first Member State of </w:t>
      </w:r>
      <w:r w:rsidR="00FC5648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the </w:t>
      </w:r>
      <w:r w:rsidR="00C21523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arrival </w:t>
      </w:r>
      <w:r w:rsidR="002F4574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o</w:t>
      </w:r>
      <w:r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f</w:t>
      </w:r>
      <w:r w:rsidR="002F4574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 migrants and </w:t>
      </w:r>
      <w:r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asylum seekers</w:t>
      </w:r>
      <w:r w:rsidR="002F4574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 together </w:t>
      </w:r>
      <w:r w:rsidR="00C21523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with an exact timeframe for all necessary administrati</w:t>
      </w:r>
      <w:r w:rsidR="002F4574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ve</w:t>
      </w:r>
      <w:r w:rsidR="00C21523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 duties</w:t>
      </w:r>
      <w:r w:rsidR="002F4574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of the detention on the European level. </w:t>
      </w: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The personal and other capacities </w:t>
      </w: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lastRenderedPageBreak/>
        <w:t>of these bodies should be supported by internal, as well as external sources</w:t>
      </w:r>
      <w:r w:rsidR="00096E2D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</w:t>
      </w: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in </w:t>
      </w:r>
      <w:r w:rsidR="00096E2D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a </w:t>
      </w: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case of unexpected overload of applications. In this regard,</w:t>
      </w:r>
      <w:r w:rsidR="002F4574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France</w:t>
      </w: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</w:t>
      </w:r>
      <w:r w:rsidR="002F4574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also brings its detention period into line with the European average, </w:t>
      </w: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where </w:t>
      </w:r>
      <w:r w:rsidR="002F4574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the maximal duration of the administrative detention will be increased </w:t>
      </w:r>
      <w:r w:rsidR="002F4574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up to 90 days</w:t>
      </w: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and accordingly, we suggest this time frame become common for all EU Member States</w:t>
      </w:r>
      <w:r w:rsidR="00FC5648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;</w:t>
      </w:r>
    </w:p>
    <w:p w:rsidR="001420EF" w:rsidRPr="00205F79" w:rsidRDefault="00291748" w:rsidP="007264C5">
      <w:pPr>
        <w:pStyle w:val="Odsekzoznamu"/>
        <w:numPr>
          <w:ilvl w:val="0"/>
          <w:numId w:val="1"/>
        </w:numPr>
        <w:spacing w:after="120" w:line="360" w:lineRule="auto"/>
        <w:ind w:right="-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</w:pP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We assert </w:t>
      </w:r>
      <w:r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the p</w:t>
      </w:r>
      <w:r w:rsidR="00AC3B7F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rotect</w:t>
      </w:r>
      <w:r w:rsidR="001420EF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ion of the </w:t>
      </w:r>
      <w:r w:rsidR="00AC3B7F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asylum seekers</w:t>
      </w:r>
      <w:r w:rsidR="00096E2D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’</w:t>
      </w:r>
      <w:r w:rsidR="00AC3B7F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 best interests</w:t>
      </w:r>
      <w:r w:rsidR="001420EF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 should be </w:t>
      </w:r>
      <w:r w:rsidR="0023413A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undoubtedly </w:t>
      </w:r>
      <w:r w:rsidR="001420EF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maintained,</w:t>
      </w:r>
      <w:r w:rsidR="001420EF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</w:t>
      </w:r>
      <w:r w:rsidR="00AC3B7F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with </w:t>
      </w:r>
      <w:r w:rsidR="001420EF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a </w:t>
      </w:r>
      <w:r w:rsidR="00AC3B7F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strong guarantee for unaccompanied minors</w:t>
      </w:r>
      <w:r w:rsidR="001420EF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. Our </w:t>
      </w:r>
      <w:r w:rsidR="00AC3B7F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„</w:t>
      </w:r>
      <w:r w:rsidR="00C21523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New Approach</w:t>
      </w:r>
      <w:r w:rsidR="00AC3B7F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” </w:t>
      </w:r>
      <w:r w:rsidR="001420EF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should </w:t>
      </w:r>
      <w:r w:rsidR="0023413A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adhere to</w:t>
      </w:r>
      <w:r w:rsidR="00C21523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the key concepts of </w:t>
      </w:r>
      <w:r w:rsidR="0023413A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the </w:t>
      </w:r>
      <w:r w:rsidR="00C21523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family unity and the best interests of refugee children (up to 15 years) and elderly (over 60 years)</w:t>
      </w:r>
      <w:r w:rsidR="00912010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,</w:t>
      </w:r>
      <w:r w:rsidR="00912010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in order not to split the families of </w:t>
      </w:r>
      <w:r w:rsidR="00E056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the </w:t>
      </w:r>
      <w:r w:rsidR="001420EF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asylum seekers</w:t>
      </w:r>
      <w:r w:rsidR="00096E2D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.</w:t>
      </w:r>
      <w:r w:rsidR="0023413A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In this regard, we welcome and agree with the </w:t>
      </w:r>
      <w:r w:rsidR="00096E2D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previous</w:t>
      </w:r>
      <w:r w:rsidR="0023413A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C</w:t>
      </w:r>
      <w:r w:rsidR="00096E2D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ommission</w:t>
      </w:r>
      <w:r w:rsidR="0023413A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suggestion to broaden the scope of “family members” so as to include siblings and any further widening of this scope should be discussed</w:t>
      </w:r>
      <w:r w:rsidR="00096E2D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collectively</w:t>
      </w:r>
      <w:r w:rsidR="00FC5648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;</w:t>
      </w:r>
    </w:p>
    <w:p w:rsidR="0023413A" w:rsidRPr="00205F79" w:rsidRDefault="00291748" w:rsidP="007264C5">
      <w:pPr>
        <w:pStyle w:val="Odsekzoznamu"/>
        <w:numPr>
          <w:ilvl w:val="0"/>
          <w:numId w:val="1"/>
        </w:numPr>
        <w:spacing w:after="120" w:line="360" w:lineRule="auto"/>
        <w:ind w:right="-6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</w:pP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As our mutual objective should be to integrate the asylum seekers to the everyday life, we welcome and agree with all propositions that </w:t>
      </w:r>
      <w:r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take into account previous experience, language or other skills of the asylum seekers</w:t>
      </w: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, because this approach could offer pragmatic solutions where the then protected person could easily play the role of an economic actor, instead of depending on social assistance. </w:t>
      </w:r>
      <w:r w:rsidR="00A20A2D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This should be accompanied by </w:t>
      </w:r>
      <w:r w:rsidR="00A20A2D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additional EU financial assistance to frontline states such as Greece and Italy</w:t>
      </w:r>
      <w:r w:rsidR="00A20A2D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, where unprocessed asylum seekers disproportionately live. Importantly, t</w:t>
      </w: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his step would help also </w:t>
      </w:r>
      <w:r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to </w:t>
      </w:r>
      <w:r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shd w:val="clear" w:color="auto" w:fill="FFFFFF"/>
          <w:lang w:val="en-US" w:eastAsia="sk-SK"/>
        </w:rPr>
        <w:t>discourage and partially prevent secondary movements of asylum-seekers</w:t>
      </w:r>
      <w:r w:rsidR="007A5160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shd w:val="clear" w:color="auto" w:fill="FFFFFF"/>
          <w:lang w:val="en-US" w:eastAsia="sk-SK"/>
        </w:rPr>
        <w:t>;</w:t>
      </w:r>
    </w:p>
    <w:p w:rsidR="003D084B" w:rsidRPr="00205F79" w:rsidRDefault="00291748" w:rsidP="007264C5">
      <w:pPr>
        <w:pStyle w:val="Odsekzoznamu"/>
        <w:numPr>
          <w:ilvl w:val="0"/>
          <w:numId w:val="1"/>
        </w:numPr>
        <w:spacing w:after="120" w:line="360" w:lineRule="auto"/>
        <w:ind w:right="-6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</w:pPr>
      <w:r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We suggest </w:t>
      </w:r>
      <w:r w:rsidR="00FC5648"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the </w:t>
      </w:r>
      <w:r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development of </w:t>
      </w:r>
      <w:r w:rsidRPr="00205F79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the common automated computer system</w:t>
      </w:r>
      <w:r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, which determines the qualities and characteristics of the asylum seeker</w:t>
      </w:r>
      <w:r w:rsidR="00E05655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s</w:t>
      </w:r>
      <w:r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and </w:t>
      </w:r>
      <w:r w:rsidR="00FC5648"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thus </w:t>
      </w:r>
      <w:r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help</w:t>
      </w:r>
      <w:r w:rsidR="00FC5648"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s</w:t>
      </w:r>
      <w:r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to fulfil the activities described in</w:t>
      </w:r>
      <w:r w:rsidR="00FC5648"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the</w:t>
      </w:r>
      <w:r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previous point. </w:t>
      </w:r>
      <w:r w:rsidR="00096E2D"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At this point, w</w:t>
      </w:r>
      <w:r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e leave upon </w:t>
      </w:r>
      <w:r w:rsidR="00FC5648"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the </w:t>
      </w:r>
      <w:r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further discussion on the European level, whether this system should be ope</w:t>
      </w:r>
      <w:r w:rsidR="002E156A"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rated within</w:t>
      </w:r>
      <w:r w:rsidR="00FC5648"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the</w:t>
      </w:r>
      <w:r w:rsidR="002E156A"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FRONTEX agency or any other body;</w:t>
      </w:r>
    </w:p>
    <w:p w:rsidR="00A20A2D" w:rsidRPr="00205F79" w:rsidRDefault="00A20A2D" w:rsidP="007264C5">
      <w:pPr>
        <w:pStyle w:val="Odsekzoznamu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sk-SK"/>
        </w:rPr>
      </w:pPr>
      <w:r w:rsidRPr="00205F79"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sk-SK"/>
        </w:rPr>
        <w:t xml:space="preserve">We call upon </w:t>
      </w:r>
      <w:r w:rsidRPr="00205F7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US" w:eastAsia="sk-SK"/>
        </w:rPr>
        <w:t>the development of an effective mechanism for returning unsuccessful asylum applicants</w:t>
      </w:r>
      <w:r w:rsidR="000D74D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US" w:eastAsia="sk-SK"/>
        </w:rPr>
        <w:t xml:space="preserve">. </w:t>
      </w:r>
      <w:r w:rsidR="000D74D9"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sk-SK"/>
        </w:rPr>
        <w:t>C</w:t>
      </w:r>
      <w:r w:rsidRPr="00205F79"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sk-SK"/>
        </w:rPr>
        <w:t xml:space="preserve">urrently, the rate of deportation for failed asylum seekers is very low, and rejected asylum seekers often disappear in the informal or shadow economy. The EU should find </w:t>
      </w:r>
      <w:r w:rsidRPr="000D74D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US" w:eastAsia="sk-SK"/>
        </w:rPr>
        <w:t xml:space="preserve">a way to reduce disappearances and through transparent and enforceable measures, such as identity cards </w:t>
      </w:r>
      <w:r w:rsidR="000D74D9" w:rsidRPr="000D74D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US" w:eastAsia="sk-SK"/>
        </w:rPr>
        <w:t>or</w:t>
      </w:r>
      <w:r w:rsidRPr="000D74D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US" w:eastAsia="sk-SK"/>
        </w:rPr>
        <w:t xml:space="preserve"> biometric information, </w:t>
      </w:r>
      <w:r w:rsidR="007A4F4D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US" w:eastAsia="sk-SK"/>
        </w:rPr>
        <w:t>controlled</w:t>
      </w:r>
      <w:r w:rsidRPr="000D74D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US" w:eastAsia="sk-SK"/>
        </w:rPr>
        <w:t xml:space="preserve"> by employers, social workers or welfare agencies, </w:t>
      </w:r>
      <w:r w:rsidRPr="00205F79"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sk-SK"/>
        </w:rPr>
        <w:t>can help to identify illegal migrants</w:t>
      </w:r>
      <w:r w:rsidR="000D74D9"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sk-SK"/>
        </w:rPr>
        <w:t xml:space="preserve">, who need to be returned </w:t>
      </w:r>
      <w:r w:rsidR="000D74D9" w:rsidRPr="00205F79"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sk-SK"/>
        </w:rPr>
        <w:t>either to a regional haven country or to their country of origin</w:t>
      </w:r>
      <w:r w:rsidR="007A5160">
        <w:rPr>
          <w:rFonts w:ascii="Times New Roman" w:eastAsia="Times New Roman" w:hAnsi="Times New Roman" w:cs="Times New Roman"/>
          <w:color w:val="000000"/>
          <w:sz w:val="22"/>
          <w:szCs w:val="22"/>
          <w:lang w:val="en-US" w:eastAsia="sk-SK"/>
        </w:rPr>
        <w:t>;</w:t>
      </w:r>
    </w:p>
    <w:p w:rsidR="007264C5" w:rsidRDefault="00A22EBB" w:rsidP="007264C5">
      <w:pPr>
        <w:pStyle w:val="Odsekzoznamu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</w:pP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We call </w:t>
      </w:r>
      <w:r w:rsidR="002E156A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upon </w:t>
      </w:r>
      <w:r w:rsidR="002E156A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all EU Member states, which have in past years reintroduced the Schengen internal border checks to c</w:t>
      </w:r>
      <w:r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ancel </w:t>
      </w:r>
      <w:r w:rsidR="002E156A" w:rsidRPr="00205F7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these controls until 31 December 2019,</w:t>
      </w:r>
      <w:r w:rsidR="002E156A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</w:t>
      </w:r>
      <w:r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in order to show solidarity</w:t>
      </w:r>
      <w:r w:rsidR="002E156A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and confidence about the strength and </w:t>
      </w:r>
      <w:r w:rsidR="00096E2D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high added </w:t>
      </w:r>
      <w:r w:rsidR="002E156A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value of the Schengen system. In this regard, France and Germany </w:t>
      </w:r>
      <w:r w:rsidR="00096E2D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want to lead this initiative by example and </w:t>
      </w:r>
      <w:r w:rsidR="002E156A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commit themselves to do so even one month earlier, i.e. before 3</w:t>
      </w:r>
      <w:r w:rsidR="006F3E8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0</w:t>
      </w:r>
      <w:bookmarkStart w:id="0" w:name="_GoBack"/>
      <w:bookmarkEnd w:id="0"/>
      <w:r w:rsidR="002E156A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November 2019</w:t>
      </w:r>
      <w:r w:rsidR="00096E2D" w:rsidRPr="00205F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;</w:t>
      </w:r>
    </w:p>
    <w:p w:rsidR="007264C5" w:rsidRPr="007264C5" w:rsidRDefault="002B4E13" w:rsidP="007264C5">
      <w:pPr>
        <w:pStyle w:val="Odsekzoznamu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</w:pPr>
      <w:r w:rsidRPr="007264C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lastRenderedPageBreak/>
        <w:t>W</w:t>
      </w:r>
      <w:r w:rsidR="002E156A" w:rsidRPr="007264C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e call upon b</w:t>
      </w:r>
      <w:r w:rsidR="003D084B" w:rsidRPr="007264C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uilding </w:t>
      </w:r>
      <w:r w:rsidR="00A22EBB" w:rsidRPr="007264C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overall </w:t>
      </w:r>
      <w:r w:rsidR="003D084B" w:rsidRPr="007264C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stronger support for the </w:t>
      </w:r>
      <w:r w:rsidR="00975FC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sustainable </w:t>
      </w:r>
      <w:r w:rsidR="003D084B" w:rsidRPr="007264C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>C</w:t>
      </w:r>
      <w:r w:rsidR="002E156A" w:rsidRPr="007264C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EAS. </w:t>
      </w:r>
      <w:r w:rsidR="003D084B" w:rsidRPr="007264C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This involves support for those states that face larger numbers of arriving asylum seekers, and greater turbulence at their borders. </w:t>
      </w:r>
      <w:r w:rsidR="003D084B" w:rsidRPr="007264C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The </w:t>
      </w:r>
      <w:r w:rsidR="001F50E9" w:rsidRPr="007264C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earlier-realized steps and initiatives such as </w:t>
      </w:r>
      <w:r w:rsidR="00E93720" w:rsidRPr="007264C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the </w:t>
      </w:r>
      <w:r w:rsidR="001F50E9" w:rsidRPr="007264C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creation of </w:t>
      </w:r>
      <w:r w:rsidR="003D084B" w:rsidRPr="007264C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hotspots</w:t>
      </w:r>
      <w:r w:rsidR="001F50E9" w:rsidRPr="007264C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, bilateral deals with transit countries or FRONTEX strengthening </w:t>
      </w:r>
      <w:r w:rsidR="003D084B" w:rsidRPr="007264C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need </w:t>
      </w:r>
      <w:r w:rsidR="00E93720" w:rsidRPr="007264C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an </w:t>
      </w:r>
      <w:r w:rsidR="003D084B" w:rsidRPr="007264C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urgent evaluation</w:t>
      </w:r>
      <w:r w:rsidR="001F50E9" w:rsidRPr="007264C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 from the side of the Commission, and subsequently, a common decision whether to continue in them or not</w:t>
      </w:r>
      <w:r w:rsidR="007A5160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;</w:t>
      </w:r>
    </w:p>
    <w:p w:rsidR="003D084B" w:rsidRPr="007264C5" w:rsidRDefault="002B4E13" w:rsidP="007264C5">
      <w:pPr>
        <w:pStyle w:val="Odsekzoznamu"/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</w:pPr>
      <w:r w:rsidRPr="007264C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To sum up, </w:t>
      </w:r>
      <w:r w:rsidRPr="007264C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a consistent </w:t>
      </w:r>
      <w:r w:rsidR="007264C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distinguishing and differentiation, </w:t>
      </w:r>
      <w:r w:rsidRPr="007264C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together with a timely identification</w:t>
      </w:r>
      <w:r w:rsidRPr="007264C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sk-SK"/>
        </w:rPr>
        <w:t xml:space="preserve"> (up to the proposed 90 days long time frame)</w:t>
      </w:r>
      <w:r w:rsidRPr="007264C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 of those migrants who are deemed not to be in need, in a combination with the protection status and more effective integration of</w:t>
      </w:r>
      <w:r w:rsidR="003D084B" w:rsidRPr="007264C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 those in need</w:t>
      </w:r>
      <w:r w:rsidRPr="007264C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, are</w:t>
      </w:r>
      <w:r w:rsidR="002E156A" w:rsidRPr="007264C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 crucial for the</w:t>
      </w:r>
      <w:r w:rsidR="003D084B" w:rsidRPr="007264C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 future credibility</w:t>
      </w:r>
      <w:r w:rsidR="002E156A" w:rsidRPr="007264C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 xml:space="preserve"> of not only the CEAS, but also </w:t>
      </w:r>
      <w:r w:rsidR="003D084B" w:rsidRPr="007264C5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  <w:t>any EU cooperation on asylum and immigration.</w:t>
      </w:r>
    </w:p>
    <w:p w:rsidR="00205F79" w:rsidRPr="00205F79" w:rsidRDefault="00205F79" w:rsidP="00205F79">
      <w:pPr>
        <w:spacing w:after="120" w:line="360" w:lineRule="auto"/>
        <w:ind w:right="-6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en-US" w:eastAsia="sk-SK"/>
        </w:rPr>
      </w:pPr>
    </w:p>
    <w:p w:rsidR="00A91C1D" w:rsidRPr="000F629B" w:rsidRDefault="00BB4DA9" w:rsidP="000F629B">
      <w:pPr>
        <w:spacing w:after="120" w:line="360" w:lineRule="auto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</w:pPr>
      <w:r w:rsidRPr="000F629B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 xml:space="preserve">We </w:t>
      </w:r>
      <w:r w:rsidR="002E156A" w:rsidRPr="000F629B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 xml:space="preserve">openly </w:t>
      </w:r>
      <w:r w:rsidRPr="000F629B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 xml:space="preserve">admit, that our “New Approach” Policy Proposal is significantly inspired by </w:t>
      </w:r>
      <w:r w:rsidR="005B43BA" w:rsidRPr="000F629B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 xml:space="preserve">already foregoing </w:t>
      </w:r>
      <w:r w:rsidRPr="000F629B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 xml:space="preserve">suggestions and </w:t>
      </w:r>
      <w:r w:rsidR="005B43BA" w:rsidRPr="000F629B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 xml:space="preserve">propositions </w:t>
      </w:r>
      <w:r w:rsidRPr="000F629B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 xml:space="preserve">made by </w:t>
      </w:r>
      <w:r w:rsidR="002E156A" w:rsidRPr="000F629B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>t</w:t>
      </w:r>
      <w:r w:rsidRPr="000F629B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>he European institutions</w:t>
      </w:r>
      <w:r w:rsidR="005B43BA" w:rsidRPr="000F629B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 xml:space="preserve">, </w:t>
      </w:r>
      <w:r w:rsidRPr="000F629B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>academia</w:t>
      </w:r>
      <w:r w:rsidR="005B43BA" w:rsidRPr="000F629B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>, or the relevant NGOs</w:t>
      </w:r>
      <w:r w:rsidRPr="000F629B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 xml:space="preserve">. However, they have been </w:t>
      </w:r>
      <w:r w:rsidR="005B43BA" w:rsidRPr="000F629B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 xml:space="preserve">remarkably mixed and adequately </w:t>
      </w:r>
      <w:r w:rsidRPr="000F629B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 xml:space="preserve">adjusted to our negotiations reality with an intention to contribute </w:t>
      </w:r>
      <w:r w:rsidR="005B43BA" w:rsidRPr="000F629B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 xml:space="preserve">maximally </w:t>
      </w:r>
      <w:r w:rsidRPr="000F629B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 xml:space="preserve">to the </w:t>
      </w:r>
      <w:r w:rsidR="005B43BA" w:rsidRPr="000F629B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>achievement</w:t>
      </w:r>
      <w:r w:rsidRPr="000F629B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 xml:space="preserve"> of the final policy solution and </w:t>
      </w:r>
      <w:r w:rsidR="005B43BA" w:rsidRPr="000F629B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 xml:space="preserve">agreement of </w:t>
      </w:r>
      <w:r w:rsidR="002E156A" w:rsidRPr="000F629B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>all concerned</w:t>
      </w:r>
      <w:r w:rsidR="005B43BA" w:rsidRPr="000F629B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 xml:space="preserve"> parties and thus, also to the </w:t>
      </w:r>
      <w:r w:rsidR="002E156A" w:rsidRPr="000F629B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 xml:space="preserve">unanimous </w:t>
      </w:r>
      <w:r w:rsidR="005B43BA" w:rsidRPr="000F629B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 xml:space="preserve">adoption of </w:t>
      </w:r>
      <w:r w:rsidR="002E156A" w:rsidRPr="000F629B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 xml:space="preserve">the </w:t>
      </w:r>
      <w:r w:rsidR="005B43BA" w:rsidRPr="000F629B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 xml:space="preserve">new </w:t>
      </w:r>
      <w:r w:rsidR="002E156A" w:rsidRPr="000F629B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>Multiannual Financial Framework (MFF) for the years 2021-2027.</w:t>
      </w:r>
    </w:p>
    <w:p w:rsidR="00205F79" w:rsidRPr="00205F79" w:rsidRDefault="00205F79" w:rsidP="00205F79">
      <w:pPr>
        <w:spacing w:after="120" w:line="360" w:lineRule="auto"/>
        <w:ind w:right="-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A91C1D" w:rsidRPr="00205F79" w:rsidRDefault="002B4E13" w:rsidP="00205F79">
      <w:pPr>
        <w:spacing w:after="120" w:line="360" w:lineRule="auto"/>
        <w:ind w:right="-6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  <w:r w:rsidRPr="00205F79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BIBLIOGRAPHY:</w:t>
      </w:r>
    </w:p>
    <w:p w:rsidR="00205F79" w:rsidRDefault="00205F79" w:rsidP="00205F79">
      <w:pPr>
        <w:spacing w:after="120" w:line="360" w:lineRule="auto"/>
        <w:ind w:right="-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BETTS, A. &amp; COLLIER, P. (2018). </w:t>
      </w:r>
      <w:r w:rsidRPr="00205F79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>How Europe Can Reform Its Migration Policy.</w:t>
      </w:r>
      <w:r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Foreign Affairs. Available at: </w:t>
      </w:r>
      <w:hyperlink r:id="rId7" w:history="1">
        <w:r w:rsidRPr="00205F79">
          <w:rPr>
            <w:rStyle w:val="Hypertextovprepojenie"/>
            <w:rFonts w:ascii="Times New Roman" w:hAnsi="Times New Roman" w:cs="Times New Roman"/>
            <w:sz w:val="22"/>
            <w:szCs w:val="22"/>
            <w:lang w:val="en-US"/>
          </w:rPr>
          <w:t>https://www.foreignaffairs.com/articles/europe/2018-10-05/how-europe-can-reform-its-migration-policy</w:t>
        </w:r>
      </w:hyperlink>
    </w:p>
    <w:p w:rsidR="000F629B" w:rsidRPr="00205F79" w:rsidRDefault="000F629B" w:rsidP="00205F79">
      <w:pPr>
        <w:spacing w:after="120" w:line="360" w:lineRule="auto"/>
        <w:ind w:right="-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2B4E13" w:rsidRDefault="00205F79" w:rsidP="00205F79">
      <w:pPr>
        <w:spacing w:after="120" w:line="360" w:lineRule="auto"/>
        <w:ind w:right="-6"/>
        <w:jc w:val="both"/>
        <w:rPr>
          <w:rStyle w:val="Hypertextovprepojenie"/>
          <w:rFonts w:ascii="Times New Roman" w:hAnsi="Times New Roman" w:cs="Times New Roman"/>
          <w:sz w:val="22"/>
          <w:szCs w:val="22"/>
          <w:lang w:val="en-US"/>
        </w:rPr>
      </w:pPr>
      <w:r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COLLET, E. (2018). </w:t>
      </w:r>
      <w:r w:rsidR="002B4E13" w:rsidRPr="00205F79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>Borderline Irrelevant: Why Reforming the Dublin Regulation Misses the Point.</w:t>
      </w:r>
      <w:r w:rsidR="002B4E13"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Migration Policy Institute. Available at: </w:t>
      </w:r>
      <w:hyperlink r:id="rId8" w:history="1">
        <w:r w:rsidR="002B4E13" w:rsidRPr="00205F79">
          <w:rPr>
            <w:rStyle w:val="Hypertextovprepojenie"/>
            <w:rFonts w:ascii="Times New Roman" w:hAnsi="Times New Roman" w:cs="Times New Roman"/>
            <w:sz w:val="22"/>
            <w:szCs w:val="22"/>
            <w:lang w:val="en-US"/>
          </w:rPr>
          <w:t>https://www.migrationpolicy.org/news/borderline-irrelevant-why-reforming-dublin-regulation-misses-point</w:t>
        </w:r>
      </w:hyperlink>
    </w:p>
    <w:p w:rsidR="000F629B" w:rsidRPr="00205F79" w:rsidRDefault="000F629B" w:rsidP="00205F79">
      <w:pPr>
        <w:spacing w:after="120" w:line="360" w:lineRule="auto"/>
        <w:ind w:right="-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2B4E13" w:rsidRDefault="00205F79" w:rsidP="00205F79">
      <w:pPr>
        <w:spacing w:after="120" w:line="360" w:lineRule="auto"/>
        <w:ind w:right="-6"/>
        <w:jc w:val="both"/>
        <w:rPr>
          <w:rStyle w:val="Hypertextovprepojenie"/>
          <w:rFonts w:ascii="Times New Roman" w:hAnsi="Times New Roman" w:cs="Times New Roman"/>
          <w:sz w:val="22"/>
          <w:szCs w:val="22"/>
          <w:lang w:val="en-US"/>
        </w:rPr>
      </w:pPr>
      <w:r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DI FILIPPO, M. (2016). </w:t>
      </w:r>
      <w:r w:rsidR="002B4E13" w:rsidRPr="00205F79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 xml:space="preserve">Dublin ‘reloaded’ or time for ambitious pragmatism? </w:t>
      </w:r>
      <w:r w:rsidR="002B4E13"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EU Immigration and Asylum Law and Policy/Droit et Politique de </w:t>
      </w:r>
      <w:proofErr w:type="spellStart"/>
      <w:r w:rsidR="002B4E13"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l'Immigration</w:t>
      </w:r>
      <w:proofErr w:type="spellEnd"/>
      <w:r w:rsidR="002B4E13"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et de </w:t>
      </w:r>
      <w:proofErr w:type="spellStart"/>
      <w:r w:rsidR="002B4E13"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l'Asile</w:t>
      </w:r>
      <w:proofErr w:type="spellEnd"/>
      <w:r w:rsidR="002B4E13"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="002B4E13"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l'UE</w:t>
      </w:r>
      <w:proofErr w:type="spellEnd"/>
      <w:r w:rsidR="002B4E13"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. Available at: </w:t>
      </w:r>
      <w:hyperlink r:id="rId9" w:history="1">
        <w:r w:rsidR="00BA7A41" w:rsidRPr="00205F79">
          <w:rPr>
            <w:rStyle w:val="Hypertextovprepojenie"/>
            <w:rFonts w:ascii="Times New Roman" w:hAnsi="Times New Roman" w:cs="Times New Roman"/>
            <w:sz w:val="22"/>
            <w:szCs w:val="22"/>
            <w:lang w:val="en-US"/>
          </w:rPr>
          <w:t>http://eumigrationlawblog.eu/dublin-reloaded/</w:t>
        </w:r>
      </w:hyperlink>
    </w:p>
    <w:p w:rsidR="000F629B" w:rsidRPr="00205F79" w:rsidRDefault="000F629B" w:rsidP="00205F79">
      <w:pPr>
        <w:spacing w:after="120" w:line="360" w:lineRule="auto"/>
        <w:ind w:right="-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BA7A41" w:rsidRDefault="00205F79" w:rsidP="00205F79">
      <w:pPr>
        <w:spacing w:after="120" w:line="360" w:lineRule="auto"/>
        <w:ind w:right="-6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EUROPEAN COMMISSION. </w:t>
      </w:r>
      <w:r w:rsidR="00A22EBB"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(2019). </w:t>
      </w:r>
      <w:r w:rsidR="00A22EBB" w:rsidRPr="00205F79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 xml:space="preserve">Country responsible for asylum application (Dublin). </w:t>
      </w:r>
      <w:r w:rsidR="00A22EBB"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Available at:</w:t>
      </w:r>
      <w:r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hyperlink r:id="rId10" w:history="1">
        <w:r w:rsidRPr="00205F79">
          <w:rPr>
            <w:rStyle w:val="Hypertextovprepojenie"/>
            <w:rFonts w:ascii="Times New Roman" w:hAnsi="Times New Roman" w:cs="Times New Roman"/>
            <w:sz w:val="22"/>
            <w:szCs w:val="22"/>
            <w:lang w:val="en-US"/>
          </w:rPr>
          <w:t>https://ec.europa.eu/home-affairs/what-we-do/policies/asylum/examination-of-applicants_en</w:t>
        </w:r>
      </w:hyperlink>
    </w:p>
    <w:p w:rsidR="000F629B" w:rsidRPr="00205F79" w:rsidRDefault="000F629B" w:rsidP="00205F79">
      <w:pPr>
        <w:spacing w:after="120" w:line="360" w:lineRule="auto"/>
        <w:ind w:right="-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BA7A41" w:rsidRDefault="00205F79" w:rsidP="00205F79">
      <w:pPr>
        <w:spacing w:after="120" w:line="360" w:lineRule="auto"/>
        <w:ind w:right="-6"/>
        <w:jc w:val="both"/>
        <w:rPr>
          <w:rStyle w:val="Hypertextovprepojenie"/>
          <w:rFonts w:ascii="Times New Roman" w:hAnsi="Times New Roman" w:cs="Times New Roman"/>
          <w:sz w:val="22"/>
          <w:szCs w:val="22"/>
          <w:lang w:val="en-US"/>
        </w:rPr>
      </w:pPr>
      <w:r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EUROPEAN PARLIAMENT. </w:t>
      </w:r>
      <w:r w:rsidR="00BA7A41"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(2019). </w:t>
      </w:r>
      <w:r w:rsidR="00BA7A41" w:rsidRPr="00205F79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>Reform of the Dublin system.</w:t>
      </w:r>
      <w:r w:rsidR="00BA7A41"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Available at: </w:t>
      </w:r>
      <w:hyperlink r:id="rId11" w:history="1">
        <w:r w:rsidR="00BA7A41" w:rsidRPr="00205F79">
          <w:rPr>
            <w:rStyle w:val="Hypertextovprepojenie"/>
            <w:rFonts w:ascii="Times New Roman" w:hAnsi="Times New Roman" w:cs="Times New Roman"/>
            <w:sz w:val="22"/>
            <w:szCs w:val="22"/>
            <w:lang w:val="en-US"/>
          </w:rPr>
          <w:t>http://www.europarl.europa.eu/RegData/etudes/BRIE/2016/586639/EPRS_BRI%282016%29586639_EN.pdf</w:t>
        </w:r>
      </w:hyperlink>
    </w:p>
    <w:p w:rsidR="000F629B" w:rsidRPr="00205F79" w:rsidRDefault="000F629B" w:rsidP="00205F79">
      <w:pPr>
        <w:spacing w:after="120" w:line="360" w:lineRule="auto"/>
        <w:ind w:right="-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205F79" w:rsidRDefault="00205F79" w:rsidP="00205F79">
      <w:pPr>
        <w:spacing w:after="120" w:line="360" w:lineRule="auto"/>
        <w:ind w:right="-6"/>
        <w:jc w:val="both"/>
        <w:rPr>
          <w:rStyle w:val="Hypertextovprepojenie"/>
          <w:rFonts w:ascii="Times New Roman" w:hAnsi="Times New Roman" w:cs="Times New Roman"/>
          <w:sz w:val="22"/>
          <w:szCs w:val="22"/>
          <w:lang w:val="en-US"/>
        </w:rPr>
      </w:pPr>
      <w:r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FRATZKE, S. </w:t>
      </w:r>
      <w:r w:rsidR="00BA7A41"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(2015). </w:t>
      </w:r>
      <w:r w:rsidR="00BA7A41" w:rsidRPr="00205F79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>Not adding up. The Fading Promise of Europe’s Dublin System.</w:t>
      </w:r>
      <w:r w:rsidR="00BA7A41"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Available at: </w:t>
      </w:r>
      <w:hyperlink r:id="rId12" w:history="1">
        <w:r w:rsidR="00BA7A41" w:rsidRPr="00205F79">
          <w:rPr>
            <w:rStyle w:val="Hypertextovprepojenie"/>
            <w:rFonts w:ascii="Times New Roman" w:hAnsi="Times New Roman" w:cs="Times New Roman"/>
            <w:sz w:val="22"/>
            <w:szCs w:val="22"/>
            <w:lang w:val="en-US"/>
          </w:rPr>
          <w:t>https://www.migrationpolicy.org/research/not-adding-fading-promise-europes-dublin-system</w:t>
        </w:r>
      </w:hyperlink>
    </w:p>
    <w:p w:rsidR="000F629B" w:rsidRPr="00205F79" w:rsidRDefault="000F629B" w:rsidP="00205F79">
      <w:pPr>
        <w:spacing w:after="120" w:line="360" w:lineRule="auto"/>
        <w:ind w:right="-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205F79" w:rsidRDefault="00205F79" w:rsidP="00205F79">
      <w:pPr>
        <w:spacing w:after="120" w:line="360" w:lineRule="auto"/>
        <w:ind w:right="-6"/>
        <w:jc w:val="both"/>
        <w:rPr>
          <w:rStyle w:val="Hypertextovprepojenie"/>
          <w:rFonts w:ascii="Times New Roman" w:hAnsi="Times New Roman" w:cs="Times New Roman"/>
          <w:sz w:val="22"/>
          <w:szCs w:val="22"/>
          <w:lang w:val="en-US"/>
        </w:rPr>
      </w:pPr>
      <w:r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GOTEV, G. (2018). </w:t>
      </w:r>
      <w:r w:rsidRPr="00205F79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>Juncker Commission gives up on Dublin asylum reform.</w:t>
      </w:r>
      <w:r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Euractiv</w:t>
      </w:r>
      <w:proofErr w:type="spellEnd"/>
      <w:r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. Available at: </w:t>
      </w:r>
      <w:hyperlink r:id="rId13" w:history="1">
        <w:r w:rsidRPr="00205F79">
          <w:rPr>
            <w:rStyle w:val="Hypertextovprepojenie"/>
            <w:rFonts w:ascii="Times New Roman" w:hAnsi="Times New Roman" w:cs="Times New Roman"/>
            <w:sz w:val="22"/>
            <w:szCs w:val="22"/>
            <w:lang w:val="en-US"/>
          </w:rPr>
          <w:t>https://www.euractiv.com/section/justice-home-affairs/news/juncker-commission-gives-up-on-dublin-asylum-reform/</w:t>
        </w:r>
      </w:hyperlink>
    </w:p>
    <w:p w:rsidR="000F629B" w:rsidRPr="00205F79" w:rsidRDefault="000F629B" w:rsidP="00205F79">
      <w:pPr>
        <w:spacing w:after="120" w:line="360" w:lineRule="auto"/>
        <w:ind w:right="-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:rsidR="003D084B" w:rsidRPr="00205F79" w:rsidRDefault="00205F79" w:rsidP="00205F79">
      <w:pPr>
        <w:spacing w:after="120" w:line="360" w:lineRule="auto"/>
        <w:ind w:right="-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OFFICIAL WEBSITE OF THE FRENCH GOVERNMENT. (2018). </w:t>
      </w:r>
      <w:r w:rsidR="00BA7A41" w:rsidRPr="00205F79">
        <w:rPr>
          <w:rFonts w:ascii="Times New Roman" w:hAnsi="Times New Roman" w:cs="Times New Roman"/>
          <w:i/>
          <w:color w:val="000000" w:themeColor="text1"/>
          <w:sz w:val="22"/>
          <w:szCs w:val="22"/>
          <w:lang w:val="en-US"/>
        </w:rPr>
        <w:t xml:space="preserve">Asylum and Immigration Act Press Pack. </w:t>
      </w:r>
      <w:r w:rsidR="00BA7A41" w:rsidRPr="00205F7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Available at: </w:t>
      </w:r>
      <w:hyperlink r:id="rId14" w:history="1">
        <w:r w:rsidR="00BA7A41" w:rsidRPr="00205F79">
          <w:rPr>
            <w:rStyle w:val="Hypertextovprepojenie"/>
            <w:rFonts w:ascii="Times New Roman" w:hAnsi="Times New Roman" w:cs="Times New Roman"/>
            <w:sz w:val="22"/>
            <w:szCs w:val="22"/>
            <w:lang w:val="en-US"/>
          </w:rPr>
          <w:t>https://www.gouvernement.fr/sites/default/files/action/piece-jointe/2018/04/dp_pjlasileimmigration-lecture_an_2204218.pdf</w:t>
        </w:r>
      </w:hyperlink>
    </w:p>
    <w:sectPr w:rsidR="003D084B" w:rsidRPr="00205F79" w:rsidSect="000F629B">
      <w:footerReference w:type="even" r:id="rId15"/>
      <w:footerReference w:type="default" r:id="rId16"/>
      <w:pgSz w:w="11900" w:h="16840"/>
      <w:pgMar w:top="1417" w:right="1411" w:bottom="174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51B" w:rsidRDefault="00A6151B" w:rsidP="0033650A">
      <w:r>
        <w:separator/>
      </w:r>
    </w:p>
  </w:endnote>
  <w:endnote w:type="continuationSeparator" w:id="0">
    <w:p w:rsidR="00A6151B" w:rsidRDefault="00A6151B" w:rsidP="0033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</w:rPr>
      <w:id w:val="6946563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33650A" w:rsidRDefault="0033650A" w:rsidP="0011592E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33650A" w:rsidRDefault="0033650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</w:rPr>
      <w:id w:val="-2059457873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33650A" w:rsidRDefault="0033650A" w:rsidP="0011592E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:rsidR="0033650A" w:rsidRDefault="003365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51B" w:rsidRDefault="00A6151B" w:rsidP="0033650A">
      <w:r>
        <w:separator/>
      </w:r>
    </w:p>
  </w:footnote>
  <w:footnote w:type="continuationSeparator" w:id="0">
    <w:p w:rsidR="00A6151B" w:rsidRDefault="00A6151B" w:rsidP="00336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1FA9"/>
    <w:multiLevelType w:val="multilevel"/>
    <w:tmpl w:val="9AA4F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83E44"/>
    <w:multiLevelType w:val="hybridMultilevel"/>
    <w:tmpl w:val="1082AC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365AF"/>
    <w:multiLevelType w:val="hybridMultilevel"/>
    <w:tmpl w:val="6972A8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6559"/>
    <w:multiLevelType w:val="hybridMultilevel"/>
    <w:tmpl w:val="3098865E"/>
    <w:lvl w:ilvl="0" w:tplc="532C34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  <w:sz w:val="24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3693B"/>
    <w:multiLevelType w:val="multilevel"/>
    <w:tmpl w:val="799E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636D93"/>
    <w:multiLevelType w:val="multilevel"/>
    <w:tmpl w:val="9AA4F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ED4DAE"/>
    <w:multiLevelType w:val="hybridMultilevel"/>
    <w:tmpl w:val="FC249E3E"/>
    <w:lvl w:ilvl="0" w:tplc="38709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AC"/>
    <w:rsid w:val="00087BA4"/>
    <w:rsid w:val="00087BBB"/>
    <w:rsid w:val="00096E2D"/>
    <w:rsid w:val="000B5D28"/>
    <w:rsid w:val="000D74D9"/>
    <w:rsid w:val="000F629B"/>
    <w:rsid w:val="001420EF"/>
    <w:rsid w:val="001E092F"/>
    <w:rsid w:val="001F50E9"/>
    <w:rsid w:val="00205F79"/>
    <w:rsid w:val="0023413A"/>
    <w:rsid w:val="00291748"/>
    <w:rsid w:val="002B4E13"/>
    <w:rsid w:val="002E156A"/>
    <w:rsid w:val="002F4574"/>
    <w:rsid w:val="0033650A"/>
    <w:rsid w:val="00347949"/>
    <w:rsid w:val="003D084B"/>
    <w:rsid w:val="004438B3"/>
    <w:rsid w:val="005B43BA"/>
    <w:rsid w:val="006C5D31"/>
    <w:rsid w:val="006F3E87"/>
    <w:rsid w:val="007264C5"/>
    <w:rsid w:val="007A4F4D"/>
    <w:rsid w:val="007A5160"/>
    <w:rsid w:val="007F72DD"/>
    <w:rsid w:val="00912010"/>
    <w:rsid w:val="00975FC3"/>
    <w:rsid w:val="009D3EFC"/>
    <w:rsid w:val="00A20A2D"/>
    <w:rsid w:val="00A22EBB"/>
    <w:rsid w:val="00A30B26"/>
    <w:rsid w:val="00A31104"/>
    <w:rsid w:val="00A6151B"/>
    <w:rsid w:val="00A91C1D"/>
    <w:rsid w:val="00AC3B7F"/>
    <w:rsid w:val="00B64250"/>
    <w:rsid w:val="00BA7A41"/>
    <w:rsid w:val="00BB4DA9"/>
    <w:rsid w:val="00BF2A75"/>
    <w:rsid w:val="00C21523"/>
    <w:rsid w:val="00C678AC"/>
    <w:rsid w:val="00CF5FDF"/>
    <w:rsid w:val="00D2668C"/>
    <w:rsid w:val="00DF6700"/>
    <w:rsid w:val="00E05655"/>
    <w:rsid w:val="00E07216"/>
    <w:rsid w:val="00E93720"/>
    <w:rsid w:val="00FC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AEB015"/>
  <w15:chartTrackingRefBased/>
  <w15:docId w15:val="{E5EA9FCA-58EB-FD48-A9C2-1018F3D4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lang w:val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A30B26"/>
    <w:pPr>
      <w:keepNext/>
      <w:keepLines/>
      <w:spacing w:before="240" w:line="276" w:lineRule="auto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30B26"/>
    <w:pPr>
      <w:keepNext/>
      <w:keepLines/>
      <w:spacing w:before="120" w:after="120" w:line="360" w:lineRule="auto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y"/>
    <w:link w:val="Nadpis3Char"/>
    <w:uiPriority w:val="9"/>
    <w:qFormat/>
    <w:rsid w:val="001E092F"/>
    <w:pPr>
      <w:spacing w:beforeAutospacing="1" w:afterAutospacing="1" w:line="360" w:lineRule="auto"/>
      <w:jc w:val="both"/>
      <w:outlineLvl w:val="2"/>
    </w:pPr>
    <w:rPr>
      <w:rFonts w:ascii="Times New Roman" w:eastAsia="Times New Roman" w:hAnsi="Times New Roman" w:cs="Times New Roman"/>
      <w:b/>
      <w:bCs/>
      <w:i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30B26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30B26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1E092F"/>
    <w:rPr>
      <w:rFonts w:ascii="Times New Roman" w:eastAsia="Times New Roman" w:hAnsi="Times New Roman" w:cs="Times New Roman"/>
      <w:b/>
      <w:bCs/>
      <w:i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678A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character" w:styleId="Hypertextovprepojenie">
    <w:name w:val="Hyperlink"/>
    <w:basedOn w:val="Predvolenpsmoodseku"/>
    <w:uiPriority w:val="99"/>
    <w:unhideWhenUsed/>
    <w:rsid w:val="00A91C1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91C1D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C21523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A22EBB"/>
    <w:rPr>
      <w:color w:val="954F72" w:themeColor="followed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33650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650A"/>
    <w:rPr>
      <w:lang w:val="en-GB"/>
    </w:rPr>
  </w:style>
  <w:style w:type="character" w:styleId="slostrany">
    <w:name w:val="page number"/>
    <w:basedOn w:val="Predvolenpsmoodseku"/>
    <w:uiPriority w:val="99"/>
    <w:semiHidden/>
    <w:unhideWhenUsed/>
    <w:rsid w:val="00336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3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grationpolicy.org/news/borderline-irrelevant-why-reforming-dublin-regulation-misses-point" TargetMode="External"/><Relationship Id="rId13" Type="http://schemas.openxmlformats.org/officeDocument/2006/relationships/hyperlink" Target="https://www.euractiv.com/section/justice-home-affairs/news/juncker-commission-gives-up-on-dublin-asylum-refor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oreignaffairs.com/articles/europe/2018-10-05/how-europe-can-reform-its-migration-policy" TargetMode="External"/><Relationship Id="rId12" Type="http://schemas.openxmlformats.org/officeDocument/2006/relationships/hyperlink" Target="https://www.migrationpolicy.org/research/not-adding-fading-promise-europes-dublin-syste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uroparl.europa.eu/RegData/etudes/BRIE/2016/586639/EPRS_BRI%282016%29586639_EN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c.europa.eu/home-affairs/what-we-do/policies/asylum/examination-of-applicants_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migrationlawblog.eu/dublin-reloaded/" TargetMode="External"/><Relationship Id="rId14" Type="http://schemas.openxmlformats.org/officeDocument/2006/relationships/hyperlink" Target="https://www.gouvernement.fr/sites/default/files/action/piece-jointe/2018/04/dp_pjlasileimmigration-lecture_an_2204218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1496</Words>
  <Characters>8589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balíka Microsoft Office</dc:creator>
  <cp:keywords/>
  <dc:description/>
  <cp:lastModifiedBy>Používateľ balíka Microsoft Office</cp:lastModifiedBy>
  <cp:revision>21</cp:revision>
  <dcterms:created xsi:type="dcterms:W3CDTF">2019-04-12T14:40:00Z</dcterms:created>
  <dcterms:modified xsi:type="dcterms:W3CDTF">2019-04-14T20:03:00Z</dcterms:modified>
</cp:coreProperties>
</file>