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6D" w:rsidRDefault="00E51975">
      <w:pPr>
        <w:jc w:val="center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Daniel C. </w:t>
      </w:r>
      <w:proofErr w:type="spellStart"/>
      <w:r>
        <w:rPr>
          <w:sz w:val="28"/>
          <w:szCs w:val="28"/>
          <w:u w:val="single"/>
        </w:rPr>
        <w:t>Dennet</w:t>
      </w:r>
      <w:proofErr w:type="spellEnd"/>
      <w:r>
        <w:rPr>
          <w:sz w:val="28"/>
          <w:szCs w:val="28"/>
          <w:u w:val="single"/>
        </w:rPr>
        <w:t xml:space="preserve"> – </w:t>
      </w:r>
      <w:proofErr w:type="spellStart"/>
      <w:r>
        <w:rPr>
          <w:sz w:val="28"/>
          <w:szCs w:val="28"/>
          <w:u w:val="single"/>
        </w:rPr>
        <w:t>Breaking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the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Spell</w:t>
      </w:r>
      <w:proofErr w:type="spellEnd"/>
      <w:r>
        <w:rPr>
          <w:sz w:val="28"/>
          <w:szCs w:val="28"/>
          <w:u w:val="single"/>
        </w:rPr>
        <w:t xml:space="preserve"> (Morality and Religion)</w:t>
      </w:r>
    </w:p>
    <w:p w:rsidR="008A0F6D" w:rsidRDefault="008A0F6D">
      <w:pPr>
        <w:rPr>
          <w:rFonts w:hint="eastAsia"/>
          <w:b/>
          <w:bCs/>
          <w:sz w:val="22"/>
          <w:szCs w:val="22"/>
        </w:rPr>
      </w:pPr>
    </w:p>
    <w:p w:rsidR="008A0F6D" w:rsidRDefault="00E5197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Dělá nás náboženství morálními? (přirozenost morálky?)</w:t>
      </w:r>
    </w:p>
    <w:p w:rsidR="008A0F6D" w:rsidRDefault="00E51975">
      <w:pPr>
        <w:jc w:val="both"/>
        <w:rPr>
          <w:rFonts w:hint="eastAsia"/>
          <w:sz w:val="22"/>
          <w:szCs w:val="22"/>
        </w:rPr>
      </w:pPr>
      <w:proofErr w:type="spellStart"/>
      <w:r>
        <w:rPr>
          <w:sz w:val="22"/>
          <w:szCs w:val="22"/>
        </w:rPr>
        <w:t>Dennett</w:t>
      </w:r>
      <w:proofErr w:type="spellEnd"/>
      <w:r>
        <w:rPr>
          <w:sz w:val="22"/>
          <w:szCs w:val="22"/>
        </w:rPr>
        <w:t xml:space="preserve"> napadá tvrzení, že nám náboženství propůjčuje důležitou morálku, protože nám dává jasné soubory norem, které se snažíme </w:t>
      </w:r>
      <w:r>
        <w:rPr>
          <w:sz w:val="22"/>
          <w:szCs w:val="22"/>
        </w:rPr>
        <w:t>dodržovat. Podle takového tvrzení nám bude věřící připadat důvěryhodnější, například jeho slib je totiž podmíněn oddaností k bohu a boží odměně. Empirická data však ukazují, že náboženské komunity vykazují podobné statistiky jako sekulární společnost.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 xml:space="preserve">Z </w:t>
      </w:r>
      <w:r>
        <w:rPr>
          <w:sz w:val="22"/>
          <w:szCs w:val="22"/>
        </w:rPr>
        <w:t xml:space="preserve">hlediska morálního lze náboženskou morálku napadat tím, že motivace k dobrým skutkům může nabádat i k velkému zlu. Pojetí boha jako všemocného dárce i trestajícího se navíc morálním filosofům zdá být velmi zjednodušující redukcí náboženské zvěsti – konáme </w:t>
      </w:r>
      <w:r>
        <w:rPr>
          <w:sz w:val="22"/>
          <w:szCs w:val="22"/>
        </w:rPr>
        <w:t>jen pro odměnu.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 xml:space="preserve">Bůh jako </w:t>
      </w:r>
      <w:r w:rsidR="000F4092">
        <w:rPr>
          <w:sz w:val="22"/>
          <w:szCs w:val="22"/>
        </w:rPr>
        <w:t>dohlížitel</w:t>
      </w:r>
      <w:bookmarkStart w:id="0" w:name="_GoBack"/>
      <w:bookmarkEnd w:id="0"/>
      <w:r>
        <w:rPr>
          <w:sz w:val="22"/>
          <w:szCs w:val="22"/>
        </w:rPr>
        <w:t xml:space="preserve"> má na společenství ten efekt, že sliby v jeho jménu už nejsou něčím osobním, ale pevně stanoveným pro všechny. Takto vytvořené normy mohou dobře fungovat v rámci jednoho náboženského systému („memu“), tj. když jsou vše</w:t>
      </w:r>
      <w:r>
        <w:rPr>
          <w:sz w:val="22"/>
          <w:szCs w:val="22"/>
        </w:rPr>
        <w:t>mi uznávány. Problém nastává, když se střetávají jiné systémy (ať náboženské či sekulární).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>„</w:t>
      </w:r>
      <w:proofErr w:type="spellStart"/>
      <w:r>
        <w:rPr>
          <w:sz w:val="22"/>
          <w:szCs w:val="22"/>
        </w:rPr>
        <w:t>Today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patterns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mutual</w:t>
      </w:r>
      <w:proofErr w:type="spellEnd"/>
      <w:r>
        <w:rPr>
          <w:sz w:val="22"/>
          <w:szCs w:val="22"/>
        </w:rPr>
        <w:t xml:space="preserve"> trust are </w:t>
      </w:r>
      <w:proofErr w:type="spellStart"/>
      <w:r>
        <w:rPr>
          <w:sz w:val="22"/>
          <w:szCs w:val="22"/>
        </w:rPr>
        <w:t>quite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securely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established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modern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democratic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independently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religious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belief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bristling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defen</w:t>
      </w:r>
      <w:r>
        <w:rPr>
          <w:sz w:val="22"/>
          <w:szCs w:val="22"/>
        </w:rPr>
        <w:t>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religions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against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corrosive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doubt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begin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look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vestigial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fossil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earlier</w:t>
      </w:r>
      <w:proofErr w:type="spellEnd"/>
      <w:r>
        <w:rPr>
          <w:sz w:val="22"/>
          <w:szCs w:val="22"/>
        </w:rPr>
        <w:t xml:space="preserve"> epoch.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longer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Policeman</w:t>
      </w:r>
      <w:proofErr w:type="spellEnd"/>
      <w:r>
        <w:rPr>
          <w:sz w:val="22"/>
          <w:szCs w:val="22"/>
        </w:rPr>
        <w:t>...“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>Kromě toho, že se takový bůh staví nad nás a dává nám svá pravidla, může také působit jako hrdina. Věřící mo</w:t>
      </w:r>
      <w:r>
        <w:rPr>
          <w:sz w:val="22"/>
          <w:szCs w:val="22"/>
        </w:rPr>
        <w:t xml:space="preserve">hou propadnout pocitům hrdinství a budou se boha snažit napodobovat. Takto nemusí napodobovat jen jeho milost, ale také mohou jeho jménem trestat, což vede ke známým konfliktům jako je pronásledování heretiků. 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Dennett</w:t>
      </w:r>
      <w:proofErr w:type="spellEnd"/>
      <w:r>
        <w:rPr>
          <w:sz w:val="22"/>
          <w:szCs w:val="22"/>
        </w:rPr>
        <w:t xml:space="preserve"> však netvrdí, že náboženství musí b</w:t>
      </w:r>
      <w:r>
        <w:rPr>
          <w:sz w:val="22"/>
          <w:szCs w:val="22"/>
        </w:rPr>
        <w:t>ýt příčinou lidských špatností. Možná je naše moralita (dobrá i špatná) v naší přirozenosti (chceme být hrdinové apod.), ale:</w:t>
      </w: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 xml:space="preserve">„Religion </w:t>
      </w:r>
      <w:proofErr w:type="spellStart"/>
      <w:r>
        <w:rPr>
          <w:sz w:val="22"/>
          <w:szCs w:val="22"/>
        </w:rPr>
        <w:t>may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well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root</w:t>
      </w:r>
      <w:proofErr w:type="spellEnd"/>
      <w:r>
        <w:rPr>
          <w:sz w:val="22"/>
          <w:szCs w:val="22"/>
        </w:rPr>
        <w:t xml:space="preserve"> cause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dangerous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yearning</w:t>
      </w:r>
      <w:proofErr w:type="spellEnd"/>
      <w:r>
        <w:rPr>
          <w:sz w:val="22"/>
          <w:szCs w:val="22"/>
        </w:rPr>
        <w:t xml:space="preserve"> … But </w:t>
      </w:r>
      <w:proofErr w:type="spellStart"/>
      <w:r>
        <w:rPr>
          <w:sz w:val="22"/>
          <w:szCs w:val="22"/>
        </w:rPr>
        <w:t>religions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certainly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most </w:t>
      </w:r>
      <w:proofErr w:type="spellStart"/>
      <w:r>
        <w:rPr>
          <w:sz w:val="22"/>
          <w:szCs w:val="22"/>
        </w:rPr>
        <w:t>prolific</w:t>
      </w:r>
      <w:proofErr w:type="spellEnd"/>
      <w:r>
        <w:rPr>
          <w:sz w:val="22"/>
          <w:szCs w:val="22"/>
        </w:rPr>
        <w:t xml:space="preserve"> source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certainities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absolutes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such </w:t>
      </w:r>
      <w:proofErr w:type="spellStart"/>
      <w:r>
        <w:rPr>
          <w:sz w:val="22"/>
          <w:szCs w:val="22"/>
        </w:rPr>
        <w:t>zealotry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depends</w:t>
      </w:r>
      <w:proofErr w:type="spellEnd"/>
      <w:r>
        <w:rPr>
          <w:sz w:val="22"/>
          <w:szCs w:val="22"/>
        </w:rPr>
        <w:t xml:space="preserve"> on.“</w:t>
      </w:r>
    </w:p>
    <w:p w:rsidR="008A0F6D" w:rsidRDefault="008A0F6D">
      <w:pPr>
        <w:rPr>
          <w:rFonts w:hint="eastAsia"/>
          <w:sz w:val="22"/>
          <w:szCs w:val="22"/>
        </w:rPr>
      </w:pPr>
    </w:p>
    <w:p w:rsidR="008A0F6D" w:rsidRDefault="00E5197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Je náboženství to, co dává tvému životu smysl?</w:t>
      </w: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Náboženství věřícímu nepochybně poskytuje životní smysl. Co když však svůj život vloží do rukou nějakého pochybného sektáře? Může tedy jaké</w:t>
      </w:r>
      <w:r>
        <w:rPr>
          <w:sz w:val="22"/>
          <w:szCs w:val="22"/>
        </w:rPr>
        <w:t>koliv náboženství poskytovat skutečný význam pro jeho život? Je správné na takové zmýlení v životě poukázat a zbořit tak krásnou iluzi?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 xml:space="preserve">Příkladem je evangelický kněz </w:t>
      </w:r>
      <w:proofErr w:type="spellStart"/>
      <w:r>
        <w:rPr>
          <w:sz w:val="22"/>
          <w:szCs w:val="22"/>
        </w:rPr>
        <w:t>Marjoe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Gortner</w:t>
      </w:r>
      <w:proofErr w:type="spellEnd"/>
      <w:r>
        <w:rPr>
          <w:sz w:val="22"/>
          <w:szCs w:val="22"/>
        </w:rPr>
        <w:t>, který z věřících dostal mnoho peněz. Bylo správné natočit o něm film a u</w:t>
      </w:r>
      <w:r>
        <w:rPr>
          <w:sz w:val="22"/>
          <w:szCs w:val="22"/>
        </w:rPr>
        <w:t>kázat těmto věřícím, že byli oklamáni? Z hlediska širší perspektivy ano:</w:t>
      </w: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>„</w:t>
      </w:r>
      <w:proofErr w:type="spellStart"/>
      <w:r>
        <w:rPr>
          <w:sz w:val="22"/>
          <w:szCs w:val="22"/>
        </w:rPr>
        <w:t>Keeping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secrets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people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own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wise</w:t>
      </w:r>
      <w:proofErr w:type="spellEnd"/>
      <w:r>
        <w:rPr>
          <w:sz w:val="22"/>
          <w:szCs w:val="22"/>
        </w:rPr>
        <w:t xml:space="preserve">, but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person to </w:t>
      </w:r>
      <w:proofErr w:type="spellStart"/>
      <w:r>
        <w:rPr>
          <w:sz w:val="22"/>
          <w:szCs w:val="22"/>
        </w:rPr>
        <w:t>give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away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secret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since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disagreements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warrant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</w:t>
      </w:r>
      <w:r>
        <w:rPr>
          <w:sz w:val="22"/>
          <w:szCs w:val="22"/>
        </w:rPr>
        <w:t>cretion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unsavory</w:t>
      </w:r>
      <w:proofErr w:type="spellEnd"/>
      <w:r>
        <w:rPr>
          <w:sz w:val="22"/>
          <w:szCs w:val="22"/>
        </w:rPr>
        <w:t xml:space="preserve"> miasma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hypocrisy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lies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frantic</w:t>
      </w:r>
      <w:proofErr w:type="spellEnd"/>
      <w:r>
        <w:rPr>
          <w:sz w:val="22"/>
          <w:szCs w:val="22"/>
        </w:rPr>
        <w:t xml:space="preserve"> but </w:t>
      </w:r>
      <w:proofErr w:type="spellStart"/>
      <w:r>
        <w:rPr>
          <w:sz w:val="22"/>
          <w:szCs w:val="22"/>
        </w:rPr>
        <w:t>fruitless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attempts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distraction</w:t>
      </w:r>
      <w:proofErr w:type="spellEnd"/>
      <w:r>
        <w:rPr>
          <w:sz w:val="22"/>
          <w:szCs w:val="22"/>
        </w:rPr>
        <w:t>.“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 xml:space="preserve">V širší perspektivě </w:t>
      </w:r>
      <w:proofErr w:type="spellStart"/>
      <w:r>
        <w:rPr>
          <w:sz w:val="22"/>
          <w:szCs w:val="22"/>
        </w:rPr>
        <w:t>Dennett</w:t>
      </w:r>
      <w:proofErr w:type="spellEnd"/>
      <w:r>
        <w:rPr>
          <w:sz w:val="22"/>
          <w:szCs w:val="22"/>
        </w:rPr>
        <w:t xml:space="preserve"> vidí také velká náboženství. Věřící často prohlašují jiné náboženství za nesmyslné. Každé náboženství je však tv</w:t>
      </w:r>
      <w:r>
        <w:rPr>
          <w:sz w:val="22"/>
          <w:szCs w:val="22"/>
        </w:rPr>
        <w:t>ořeno umírněnými i ortodoxními věřícími. Je nesnadné odhadnout jejich poměr, ale je zjevné, že v každém náboženství je velký počet umírněných, kteří respektují smysl jiných náboženství (nebo neuznávají smysl toho svého). Mlčí ale kvůli strachu před jakýmko</w:t>
      </w:r>
      <w:r>
        <w:rPr>
          <w:sz w:val="22"/>
          <w:szCs w:val="22"/>
        </w:rPr>
        <w:t>liv obviněním z hereze nebo odpadlictví.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 xml:space="preserve">Řešení vidí </w:t>
      </w:r>
      <w:proofErr w:type="spellStart"/>
      <w:r>
        <w:rPr>
          <w:sz w:val="22"/>
          <w:szCs w:val="22"/>
        </w:rPr>
        <w:t>Dennett</w:t>
      </w:r>
      <w:proofErr w:type="spellEnd"/>
      <w:r>
        <w:rPr>
          <w:sz w:val="22"/>
          <w:szCs w:val="22"/>
        </w:rPr>
        <w:t xml:space="preserve"> v pojímání náboženství podobně jako při podpoře sportovního týmu. Náboženství by nám mělo dávat smysl jako nositel naší identity. Hlásíme se k němu, protože je naše, ale respektujeme i jiná náb</w:t>
      </w:r>
      <w:r>
        <w:rPr>
          <w:sz w:val="22"/>
          <w:szCs w:val="22"/>
        </w:rPr>
        <w:t>oženství (týmy):</w:t>
      </w: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>„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kind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love</w:t>
      </w:r>
      <w:proofErr w:type="gramEnd"/>
      <w:r>
        <w:rPr>
          <w:sz w:val="22"/>
          <w:szCs w:val="22"/>
        </w:rPr>
        <w:t xml:space="preserve">, but not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rabid</w:t>
      </w:r>
      <w:proofErr w:type="spellEnd"/>
      <w:r>
        <w:rPr>
          <w:sz w:val="22"/>
          <w:szCs w:val="22"/>
        </w:rPr>
        <w:t xml:space="preserve"> love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people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lie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tortue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kill</w:t>
      </w:r>
      <w:proofErr w:type="spellEnd"/>
      <w:r>
        <w:rPr>
          <w:sz w:val="22"/>
          <w:szCs w:val="22"/>
        </w:rPr>
        <w:t>.“</w:t>
      </w:r>
    </w:p>
    <w:p w:rsidR="008A0F6D" w:rsidRDefault="008A0F6D">
      <w:pPr>
        <w:rPr>
          <w:rFonts w:hint="eastAsia"/>
          <w:sz w:val="22"/>
          <w:szCs w:val="22"/>
        </w:rPr>
      </w:pPr>
    </w:p>
    <w:p w:rsidR="008A0F6D" w:rsidRDefault="00E51975">
      <w:pPr>
        <w:rPr>
          <w:rFonts w:hint="eastAsia"/>
          <w:b/>
          <w:bCs/>
          <w:sz w:val="22"/>
          <w:szCs w:val="22"/>
        </w:rPr>
      </w:pPr>
      <w:r>
        <w:br w:type="page"/>
      </w:r>
    </w:p>
    <w:p w:rsidR="008A0F6D" w:rsidRDefault="00E5197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3. Co můžeme říci o posvátných hodnotách? (zodpovědnost a racionalita)</w:t>
      </w: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V globalizovaném světě je stále těžší být morální. S tím roste naše zodpovědnost za věci, které se nás předtím </w:t>
      </w:r>
      <w:proofErr w:type="gramStart"/>
      <w:r>
        <w:rPr>
          <w:sz w:val="22"/>
          <w:szCs w:val="22"/>
        </w:rPr>
        <w:t>netýkaly a vzniká</w:t>
      </w:r>
      <w:proofErr w:type="gramEnd"/>
      <w:r>
        <w:rPr>
          <w:sz w:val="22"/>
          <w:szCs w:val="22"/>
        </w:rPr>
        <w:t xml:space="preserve"> více dilemat, jak se máme rozhodovat. Vše, včetně náboženských dogmat, může být pojímáno různě. 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Dennett</w:t>
      </w:r>
      <w:proofErr w:type="spellEnd"/>
      <w:r>
        <w:rPr>
          <w:sz w:val="22"/>
          <w:szCs w:val="22"/>
        </w:rPr>
        <w:t xml:space="preserve"> považuje za základ m</w:t>
      </w:r>
      <w:r>
        <w:rPr>
          <w:sz w:val="22"/>
          <w:szCs w:val="22"/>
        </w:rPr>
        <w:t xml:space="preserve">orálního rozhodování osobní </w:t>
      </w:r>
      <w:r>
        <w:rPr>
          <w:i/>
          <w:iCs/>
          <w:sz w:val="22"/>
          <w:szCs w:val="22"/>
        </w:rPr>
        <w:t>zodpovědnost</w:t>
      </w:r>
      <w:r>
        <w:rPr>
          <w:sz w:val="22"/>
          <w:szCs w:val="22"/>
        </w:rPr>
        <w:t xml:space="preserve">. Jsme ale schopni rozhodovat se o všem co nás obklopuje? Můžeme se spolehnout na experty. Naše morální rozhodnutí spočívá v tom, zda právě tyto osoby považujeme za důvěryhodné. Je to však rozhodnutí </w:t>
      </w:r>
      <w:r>
        <w:rPr>
          <w:i/>
          <w:iCs/>
          <w:sz w:val="22"/>
          <w:szCs w:val="22"/>
        </w:rPr>
        <w:t>racionální</w:t>
      </w:r>
      <w:r>
        <w:rPr>
          <w:sz w:val="22"/>
          <w:szCs w:val="22"/>
        </w:rPr>
        <w:t>, věří</w:t>
      </w:r>
      <w:r>
        <w:rPr>
          <w:sz w:val="22"/>
          <w:szCs w:val="22"/>
        </w:rPr>
        <w:t>me jim, protože pro to máme důvody, nikoliv iracionálně, láskou.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>„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themselves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haven‘t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conscientiously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considered</w:t>
      </w:r>
      <w:proofErr w:type="spellEnd"/>
      <w:r>
        <w:rPr>
          <w:sz w:val="22"/>
          <w:szCs w:val="22"/>
        </w:rPr>
        <w:t xml:space="preserve">, on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own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whether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pastors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priests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rabbis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imams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worthy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delegated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authority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own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lives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 are in </w:t>
      </w:r>
      <w:proofErr w:type="spellStart"/>
      <w:r>
        <w:rPr>
          <w:sz w:val="22"/>
          <w:szCs w:val="22"/>
        </w:rPr>
        <w:t>fact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taking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personally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immoral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stand</w:t>
      </w:r>
      <w:proofErr w:type="spellEnd"/>
      <w:r>
        <w:rPr>
          <w:sz w:val="22"/>
          <w:szCs w:val="22"/>
        </w:rPr>
        <w:t>.“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>„</w:t>
      </w:r>
      <w:proofErr w:type="spellStart"/>
      <w:r>
        <w:rPr>
          <w:sz w:val="22"/>
          <w:szCs w:val="22"/>
        </w:rPr>
        <w:t>consider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God-given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edict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conscientiously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full </w:t>
      </w:r>
      <w:proofErr w:type="spellStart"/>
      <w:r>
        <w:rPr>
          <w:sz w:val="22"/>
          <w:szCs w:val="22"/>
        </w:rPr>
        <w:t>light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reason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evidence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command</w:t>
      </w:r>
      <w:proofErr w:type="spellEnd"/>
      <w:r>
        <w:rPr>
          <w:sz w:val="22"/>
          <w:szCs w:val="22"/>
        </w:rPr>
        <w:t xml:space="preserve">. No </w:t>
      </w:r>
      <w:proofErr w:type="spellStart"/>
      <w:r>
        <w:rPr>
          <w:sz w:val="22"/>
          <w:szCs w:val="22"/>
        </w:rPr>
        <w:t>God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pleased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displays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unreasoning</w:t>
      </w:r>
      <w:proofErr w:type="spellEnd"/>
      <w:r>
        <w:rPr>
          <w:sz w:val="22"/>
          <w:szCs w:val="22"/>
        </w:rPr>
        <w:t xml:space="preserve"> love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worthy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worshi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>.“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>Žádná morální nauka by neměla být přijímána bez kritických otázek. Kdo prohlašuje morální přesvědčení jako dogma a není schopen jakékoliv debaty, nejen že zdiskredituje sebe, ale také své náboženství i svého boha. Takoví jedinci nebo celé skupiny neb</w:t>
      </w:r>
      <w:r>
        <w:rPr>
          <w:sz w:val="22"/>
          <w:szCs w:val="22"/>
        </w:rPr>
        <w:t>udou v racionální debatě bráni vážně, ale budou bráni jako součást problému.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  <w:t xml:space="preserve">Každé náboženství obsahuje veličinu „umírněných“ věřících, kteří jsou ochotni náboženství podrobovat kritice. Tito věřící musí vzít zodpovědnost i za fanatiky, přijmout je jako </w:t>
      </w:r>
      <w:r>
        <w:rPr>
          <w:sz w:val="22"/>
          <w:szCs w:val="22"/>
        </w:rPr>
        <w:t>problém vlastního náboženství a především se starat o to, aby se s fanatismem vypořádali ve svých řadách. Naší zodpovědností je poskytnout jim k tomu podporu.</w:t>
      </w:r>
    </w:p>
    <w:p w:rsidR="008A0F6D" w:rsidRDefault="008A0F6D">
      <w:pPr>
        <w:jc w:val="both"/>
        <w:rPr>
          <w:rFonts w:hint="eastAsia"/>
          <w:sz w:val="22"/>
          <w:szCs w:val="22"/>
        </w:rPr>
      </w:pPr>
    </w:p>
    <w:p w:rsidR="008A0F6D" w:rsidRDefault="00E51975">
      <w:pPr>
        <w:jc w:val="both"/>
        <w:rPr>
          <w:rFonts w:hint="eastAsia"/>
        </w:rPr>
      </w:pPr>
      <w:r>
        <w:rPr>
          <w:sz w:val="22"/>
          <w:szCs w:val="22"/>
        </w:rPr>
        <w:tab/>
        <w:t xml:space="preserve">„by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moderates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good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protective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coloration</w:t>
      </w:r>
      <w:proofErr w:type="spellEnd"/>
      <w:r>
        <w:rPr>
          <w:sz w:val="22"/>
          <w:szCs w:val="22"/>
        </w:rPr>
        <w:t xml:space="preserve"> fot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fanatical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corelig</w:t>
      </w:r>
      <w:r>
        <w:rPr>
          <w:sz w:val="22"/>
          <w:szCs w:val="22"/>
        </w:rPr>
        <w:t>ionists</w:t>
      </w:r>
      <w:proofErr w:type="spellEnd"/>
      <w:r>
        <w:rPr>
          <w:sz w:val="22"/>
          <w:szCs w:val="22"/>
        </w:rPr>
        <w:t xml:space="preserve"> …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moderates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religions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being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used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fanatics</w:t>
      </w:r>
      <w:proofErr w:type="spellEnd"/>
      <w:r>
        <w:rPr>
          <w:sz w:val="22"/>
          <w:szCs w:val="22"/>
        </w:rPr>
        <w:t>“ … „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non-</w:t>
      </w:r>
      <w:proofErr w:type="spellStart"/>
      <w:r>
        <w:rPr>
          <w:sz w:val="22"/>
          <w:szCs w:val="22"/>
        </w:rPr>
        <w:t>Muslims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thereby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puppets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enemies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Islam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eyes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many </w:t>
      </w:r>
      <w:proofErr w:type="spellStart"/>
      <w:r>
        <w:rPr>
          <w:sz w:val="22"/>
          <w:szCs w:val="22"/>
        </w:rPr>
        <w:t>Muslims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religious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community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effective</w:t>
      </w:r>
      <w:r>
        <w:rPr>
          <w:sz w:val="22"/>
          <w:szCs w:val="22"/>
        </w:rPr>
        <w:t>ly</w:t>
      </w:r>
      <w:proofErr w:type="spellEnd"/>
      <w:r>
        <w:rPr>
          <w:sz w:val="22"/>
          <w:szCs w:val="22"/>
        </w:rPr>
        <w:t xml:space="preserve"> start to </w:t>
      </w:r>
      <w:proofErr w:type="spellStart"/>
      <w:r>
        <w:rPr>
          <w:sz w:val="22"/>
          <w:szCs w:val="22"/>
        </w:rPr>
        <w:t>dismantle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deeply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immoral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attitude</w:t>
      </w:r>
      <w:proofErr w:type="spellEnd"/>
      <w:r>
        <w:rPr>
          <w:sz w:val="22"/>
          <w:szCs w:val="22"/>
        </w:rPr>
        <w:t>“</w:t>
      </w:r>
    </w:p>
    <w:sectPr w:rsidR="008A0F6D">
      <w:headerReference w:type="default" r:id="rId6"/>
      <w:pgSz w:w="11906" w:h="16838"/>
      <w:pgMar w:top="1693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75" w:rsidRDefault="00E51975">
      <w:pPr>
        <w:rPr>
          <w:rFonts w:hint="eastAsia"/>
        </w:rPr>
      </w:pPr>
      <w:r>
        <w:separator/>
      </w:r>
    </w:p>
  </w:endnote>
  <w:endnote w:type="continuationSeparator" w:id="0">
    <w:p w:rsidR="00E51975" w:rsidRDefault="00E519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75" w:rsidRDefault="00E51975">
      <w:pPr>
        <w:rPr>
          <w:rFonts w:hint="eastAsia"/>
        </w:rPr>
      </w:pPr>
      <w:r>
        <w:separator/>
      </w:r>
    </w:p>
  </w:footnote>
  <w:footnote w:type="continuationSeparator" w:id="0">
    <w:p w:rsidR="00E51975" w:rsidRDefault="00E5197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6D" w:rsidRDefault="00E51975">
    <w:pPr>
      <w:pStyle w:val="Zhlav"/>
      <w:jc w:val="right"/>
      <w:rPr>
        <w:rFonts w:hint="eastAsia"/>
      </w:rPr>
    </w:pPr>
    <w:r>
      <w:rPr>
        <w:color w:val="000000"/>
      </w:rPr>
      <w:t xml:space="preserve">Aleš </w:t>
    </w:r>
    <w:proofErr w:type="spellStart"/>
    <w:r>
      <w:rPr>
        <w:color w:val="000000"/>
      </w:rPr>
      <w:t>Slapnička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6D"/>
    <w:rsid w:val="000F4092"/>
    <w:rsid w:val="008A0F6D"/>
    <w:rsid w:val="00E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C28D-0622-4704-B2BD-CFB0846E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dc:description/>
  <cp:lastModifiedBy>Matějčková, Tereza</cp:lastModifiedBy>
  <cp:revision>2</cp:revision>
  <dcterms:created xsi:type="dcterms:W3CDTF">2018-05-28T18:22:00Z</dcterms:created>
  <dcterms:modified xsi:type="dcterms:W3CDTF">2018-05-28T18:22:00Z</dcterms:modified>
  <dc:language>cs-CZ</dc:language>
</cp:coreProperties>
</file>