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5FE" w:rsidRDefault="001645FE" w:rsidP="001645FE">
      <w:pPr>
        <w:jc w:val="center"/>
      </w:pPr>
      <w:bookmarkStart w:id="0" w:name="_GoBack"/>
      <w:bookmarkEnd w:id="0"/>
      <w:r>
        <w:t>Přednáška 9</w:t>
      </w:r>
    </w:p>
    <w:p w:rsidR="001645FE" w:rsidRDefault="001645FE" w:rsidP="001645FE">
      <w:pPr>
        <w:jc w:val="center"/>
        <w:rPr>
          <w:b/>
        </w:rPr>
      </w:pPr>
      <w:r w:rsidRPr="00AC655C">
        <w:rPr>
          <w:b/>
        </w:rPr>
        <w:t>Hermeneutická výchova – výchova založená na porozumění a empatii</w:t>
      </w:r>
    </w:p>
    <w:p w:rsidR="001645FE" w:rsidRDefault="001645FE" w:rsidP="001645FE">
      <w:pPr>
        <w:jc w:val="center"/>
        <w:rPr>
          <w:b/>
        </w:rPr>
      </w:pPr>
    </w:p>
    <w:p w:rsidR="001645FE" w:rsidRDefault="001645FE" w:rsidP="001645FE">
      <w:pPr>
        <w:jc w:val="left"/>
        <w:rPr>
          <w:b/>
        </w:rPr>
      </w:pPr>
      <w:r>
        <w:rPr>
          <w:b/>
        </w:rPr>
        <w:t>Str. 1</w:t>
      </w:r>
    </w:p>
    <w:p w:rsidR="001645FE" w:rsidRDefault="001645FE" w:rsidP="001645FE">
      <w:pPr>
        <w:jc w:val="center"/>
        <w:rPr>
          <w:b/>
        </w:rPr>
      </w:pPr>
      <w:r>
        <w:rPr>
          <w:b/>
        </w:rPr>
        <w:t>Co je hermeneutika?</w:t>
      </w:r>
    </w:p>
    <w:p w:rsidR="001645FE" w:rsidRDefault="001645FE" w:rsidP="001645FE">
      <w:pPr>
        <w:jc w:val="center"/>
        <w:rPr>
          <w:b/>
        </w:rPr>
      </w:pPr>
    </w:p>
    <w:p w:rsidR="001645FE" w:rsidRDefault="001645FE" w:rsidP="001645FE">
      <w:pPr>
        <w:pStyle w:val="Odstavecseseznamem"/>
        <w:numPr>
          <w:ilvl w:val="0"/>
          <w:numId w:val="1"/>
        </w:numPr>
        <w:jc w:val="left"/>
      </w:pPr>
      <w:proofErr w:type="spellStart"/>
      <w:r w:rsidRPr="00800545">
        <w:t>Hermeneuein</w:t>
      </w:r>
      <w:proofErr w:type="spellEnd"/>
      <w:r w:rsidRPr="00800545">
        <w:t xml:space="preserve"> (</w:t>
      </w:r>
      <w:proofErr w:type="spellStart"/>
      <w:r w:rsidRPr="00800545">
        <w:t>strořec</w:t>
      </w:r>
      <w:proofErr w:type="spellEnd"/>
      <w:r w:rsidRPr="00800545">
        <w:t>.</w:t>
      </w:r>
      <w:r>
        <w:t>) – vyjádřit, - vyložit, - přeložit</w:t>
      </w:r>
    </w:p>
    <w:p w:rsidR="001645FE" w:rsidRDefault="001645FE" w:rsidP="001645FE">
      <w:pPr>
        <w:pStyle w:val="Odstavecseseznamem"/>
        <w:numPr>
          <w:ilvl w:val="0"/>
          <w:numId w:val="1"/>
        </w:numPr>
        <w:jc w:val="left"/>
      </w:pPr>
      <w:r>
        <w:t>Umění interpretace – slouží k porozumění a zprostředkovávají ho</w:t>
      </w:r>
    </w:p>
    <w:p w:rsidR="001645FE" w:rsidRDefault="001645FE" w:rsidP="001645FE">
      <w:pPr>
        <w:pStyle w:val="Odstavecseseznamem"/>
        <w:numPr>
          <w:ilvl w:val="0"/>
          <w:numId w:val="1"/>
        </w:numPr>
        <w:jc w:val="left"/>
      </w:pPr>
      <w:r>
        <w:t>Porozumění je nejen poznávací, ale i existenciální kategorií</w:t>
      </w:r>
    </w:p>
    <w:p w:rsidR="001645FE" w:rsidRDefault="001645FE" w:rsidP="001645FE">
      <w:pPr>
        <w:pStyle w:val="Odstavecseseznamem"/>
        <w:numPr>
          <w:ilvl w:val="0"/>
          <w:numId w:val="1"/>
        </w:numPr>
        <w:jc w:val="left"/>
      </w:pPr>
      <w:r>
        <w:t>Porozumění je poznání něčeho jako něčeho lidského, co má smysl</w:t>
      </w:r>
    </w:p>
    <w:p w:rsidR="001645FE" w:rsidRDefault="001645FE" w:rsidP="001645FE">
      <w:pPr>
        <w:jc w:val="left"/>
      </w:pPr>
    </w:p>
    <w:p w:rsidR="001645FE" w:rsidRDefault="001645FE" w:rsidP="001645FE">
      <w:pPr>
        <w:jc w:val="left"/>
      </w:pPr>
      <w:r>
        <w:t>Str. 2</w:t>
      </w:r>
    </w:p>
    <w:p w:rsidR="001645FE" w:rsidRDefault="001645FE" w:rsidP="001645FE">
      <w:pPr>
        <w:jc w:val="center"/>
        <w:rPr>
          <w:b/>
        </w:rPr>
      </w:pPr>
      <w:r w:rsidRPr="006C2630">
        <w:rPr>
          <w:b/>
        </w:rPr>
        <w:t>Vývoj hermeneutiky</w:t>
      </w:r>
    </w:p>
    <w:p w:rsidR="001645FE" w:rsidRDefault="001645FE" w:rsidP="001645FE">
      <w:pPr>
        <w:jc w:val="center"/>
        <w:rPr>
          <w:b/>
        </w:rPr>
      </w:pPr>
    </w:p>
    <w:p w:rsidR="001645FE" w:rsidRDefault="001645FE" w:rsidP="001645FE">
      <w:pPr>
        <w:pStyle w:val="Odstavecseseznamem"/>
        <w:numPr>
          <w:ilvl w:val="0"/>
          <w:numId w:val="1"/>
        </w:numPr>
        <w:jc w:val="left"/>
      </w:pPr>
      <w:r w:rsidRPr="006C2630">
        <w:t>Zakladatel</w:t>
      </w:r>
      <w:r>
        <w:t xml:space="preserve"> Friedrich </w:t>
      </w:r>
      <w:proofErr w:type="spellStart"/>
      <w:r>
        <w:t>Schleiermacher</w:t>
      </w:r>
      <w:proofErr w:type="spellEnd"/>
      <w:r>
        <w:t xml:space="preserve"> „obecná hermeneutika“</w:t>
      </w:r>
    </w:p>
    <w:p w:rsidR="001645FE" w:rsidRDefault="001645FE" w:rsidP="001645FE">
      <w:pPr>
        <w:pStyle w:val="Odstavecseseznamem"/>
        <w:numPr>
          <w:ilvl w:val="0"/>
          <w:numId w:val="1"/>
        </w:numPr>
        <w:jc w:val="left"/>
      </w:pPr>
      <w:r>
        <w:t>Zavedl otázku „hermeneutické diference“: Jak překlenout rozdíl mezi tím, jak rozumí autor a jak rozumí čtenář; přímý účastník událostí a pozdější badatel; co je napsáno a jak tomu rozumíme?</w:t>
      </w:r>
    </w:p>
    <w:p w:rsidR="001645FE" w:rsidRDefault="001645FE" w:rsidP="001645FE">
      <w:pPr>
        <w:pStyle w:val="Odstavecseseznamem"/>
        <w:numPr>
          <w:ilvl w:val="0"/>
          <w:numId w:val="1"/>
        </w:numPr>
        <w:jc w:val="left"/>
      </w:pPr>
      <w:r>
        <w:t>Problém „objektivity“ humanitně vědního poznání.</w:t>
      </w:r>
    </w:p>
    <w:p w:rsidR="001645FE" w:rsidRDefault="001645FE" w:rsidP="001645FE">
      <w:pPr>
        <w:pStyle w:val="Odstavecseseznamem"/>
        <w:numPr>
          <w:ilvl w:val="0"/>
          <w:numId w:val="1"/>
        </w:numPr>
        <w:jc w:val="left"/>
      </w:pPr>
      <w:r>
        <w:t>Formuloval nárok hermeneutického poznán í: rozumět autorovi lépe, než on rozuměl sám sobě.</w:t>
      </w:r>
    </w:p>
    <w:p w:rsidR="001645FE" w:rsidRDefault="001645FE" w:rsidP="001645FE">
      <w:pPr>
        <w:jc w:val="left"/>
      </w:pPr>
    </w:p>
    <w:p w:rsidR="001645FE" w:rsidRDefault="001645FE" w:rsidP="001645FE">
      <w:pPr>
        <w:jc w:val="left"/>
      </w:pPr>
      <w:r>
        <w:t>Str. 3</w:t>
      </w:r>
    </w:p>
    <w:p w:rsidR="001645FE" w:rsidRDefault="001645FE" w:rsidP="001645FE">
      <w:pPr>
        <w:jc w:val="center"/>
        <w:rPr>
          <w:b/>
        </w:rPr>
      </w:pPr>
      <w:proofErr w:type="spellStart"/>
      <w:r>
        <w:rPr>
          <w:b/>
        </w:rPr>
        <w:t>Diltheyova</w:t>
      </w:r>
      <w:proofErr w:type="spellEnd"/>
      <w:r>
        <w:rPr>
          <w:b/>
        </w:rPr>
        <w:t xml:space="preserve"> hermeneutika</w:t>
      </w:r>
    </w:p>
    <w:p w:rsidR="001645FE" w:rsidRDefault="001645FE" w:rsidP="001645FE">
      <w:pPr>
        <w:jc w:val="center"/>
        <w:rPr>
          <w:b/>
        </w:rPr>
      </w:pPr>
    </w:p>
    <w:p w:rsidR="001645FE" w:rsidRDefault="001645FE" w:rsidP="001645FE">
      <w:pPr>
        <w:pStyle w:val="Odstavecseseznamem"/>
        <w:numPr>
          <w:ilvl w:val="0"/>
          <w:numId w:val="1"/>
        </w:numPr>
        <w:jc w:val="left"/>
        <w:rPr>
          <w:i/>
        </w:rPr>
      </w:pPr>
      <w:r w:rsidRPr="006C2630">
        <w:rPr>
          <w:i/>
        </w:rPr>
        <w:t>„Přírodu vysvětlujeme, duchovnímu životu rozumíme.“</w:t>
      </w:r>
    </w:p>
    <w:p w:rsidR="001645FE" w:rsidRPr="006C2630" w:rsidRDefault="001645FE" w:rsidP="001645FE">
      <w:pPr>
        <w:pStyle w:val="Odstavecseseznamem"/>
        <w:numPr>
          <w:ilvl w:val="0"/>
          <w:numId w:val="1"/>
        </w:numPr>
        <w:jc w:val="left"/>
        <w:rPr>
          <w:i/>
        </w:rPr>
      </w:pPr>
      <w:r>
        <w:t>Hloubka porozumění: subjektivní a objektivní předpoklady porozumění</w:t>
      </w:r>
    </w:p>
    <w:p w:rsidR="001645FE" w:rsidRPr="006C2630" w:rsidRDefault="001645FE" w:rsidP="001645FE">
      <w:pPr>
        <w:pStyle w:val="Odstavecseseznamem"/>
        <w:numPr>
          <w:ilvl w:val="0"/>
          <w:numId w:val="1"/>
        </w:numPr>
        <w:jc w:val="left"/>
        <w:rPr>
          <w:i/>
        </w:rPr>
      </w:pPr>
      <w:r>
        <w:t xml:space="preserve">Překážky porozumění (tzv. aporie): </w:t>
      </w:r>
    </w:p>
    <w:p w:rsidR="001645FE" w:rsidRPr="006C2630" w:rsidRDefault="001645FE" w:rsidP="001645FE">
      <w:pPr>
        <w:pStyle w:val="Odstavecseseznamem"/>
        <w:numPr>
          <w:ilvl w:val="0"/>
          <w:numId w:val="1"/>
        </w:numPr>
        <w:jc w:val="left"/>
        <w:rPr>
          <w:i/>
        </w:rPr>
      </w:pPr>
      <w:r>
        <w:t>1. Uzavřenost individuálního vědomí a potřeba uchopit s všeobecnou platností cizí individuální projev</w:t>
      </w:r>
    </w:p>
    <w:p w:rsidR="001645FE" w:rsidRPr="00B43451" w:rsidRDefault="001645FE" w:rsidP="001645FE">
      <w:pPr>
        <w:pStyle w:val="Odstavecseseznamem"/>
        <w:numPr>
          <w:ilvl w:val="0"/>
          <w:numId w:val="1"/>
        </w:numPr>
        <w:jc w:val="left"/>
        <w:rPr>
          <w:i/>
        </w:rPr>
      </w:pPr>
      <w:r>
        <w:t>2. Vztah celku a jednotlivého, celek vyžaduje proniknout do individuality a individuální je předpokladem porozumění celku</w:t>
      </w:r>
    </w:p>
    <w:p w:rsidR="001645FE" w:rsidRPr="00B43451" w:rsidRDefault="001645FE" w:rsidP="001645FE">
      <w:pPr>
        <w:pStyle w:val="Odstavecseseznamem"/>
        <w:numPr>
          <w:ilvl w:val="0"/>
          <w:numId w:val="1"/>
        </w:numPr>
        <w:jc w:val="left"/>
        <w:rPr>
          <w:i/>
        </w:rPr>
      </w:pPr>
      <w:r>
        <w:t>3. Vztah mezi vnímáním vnitřním a vnějším, k pochopení vnitřního je potřeba vnitřní vnímání, ale zároveň vnější podnět</w:t>
      </w:r>
    </w:p>
    <w:p w:rsidR="001645FE" w:rsidRDefault="001645FE" w:rsidP="001645FE">
      <w:pPr>
        <w:jc w:val="left"/>
        <w:rPr>
          <w:i/>
        </w:rPr>
      </w:pPr>
    </w:p>
    <w:p w:rsidR="001645FE" w:rsidRDefault="001645FE" w:rsidP="001645FE">
      <w:pPr>
        <w:jc w:val="left"/>
      </w:pPr>
      <w:r>
        <w:t>Str. 4</w:t>
      </w:r>
    </w:p>
    <w:p w:rsidR="001645FE" w:rsidRDefault="001645FE" w:rsidP="001645FE">
      <w:pPr>
        <w:jc w:val="center"/>
        <w:rPr>
          <w:b/>
        </w:rPr>
      </w:pPr>
      <w:r>
        <w:rPr>
          <w:b/>
        </w:rPr>
        <w:t>Hermeneutický kruh</w:t>
      </w:r>
    </w:p>
    <w:p w:rsidR="001645FE" w:rsidRDefault="001645FE" w:rsidP="001645FE">
      <w:pPr>
        <w:pStyle w:val="Odstavecseseznamem"/>
        <w:numPr>
          <w:ilvl w:val="0"/>
          <w:numId w:val="1"/>
        </w:numPr>
        <w:jc w:val="left"/>
      </w:pPr>
      <w:r>
        <w:t>Poznání nezačíná v nicotě, ale vyrůstá ze známého, tzn. z „před-porozumění“ (Vor-</w:t>
      </w:r>
      <w:proofErr w:type="spellStart"/>
      <w:r>
        <w:t>verstehen</w:t>
      </w:r>
      <w:proofErr w:type="spellEnd"/>
      <w:r>
        <w:t xml:space="preserve">). </w:t>
      </w:r>
    </w:p>
    <w:p w:rsidR="001645FE" w:rsidRDefault="001645FE" w:rsidP="001645FE">
      <w:pPr>
        <w:pStyle w:val="Odstavecseseznamem"/>
        <w:numPr>
          <w:ilvl w:val="0"/>
          <w:numId w:val="1"/>
        </w:numPr>
        <w:jc w:val="left"/>
      </w:pPr>
      <w:r>
        <w:t>Člověk je bytostí, která již nějak rozumí světu, vždy už nějak víme o tom, čemu chceme a můžeme porozumět.</w:t>
      </w:r>
    </w:p>
    <w:p w:rsidR="001645FE" w:rsidRDefault="001645FE" w:rsidP="001645FE">
      <w:pPr>
        <w:pStyle w:val="Odstavecseseznamem"/>
        <w:numPr>
          <w:ilvl w:val="0"/>
          <w:numId w:val="1"/>
        </w:numPr>
        <w:jc w:val="left"/>
      </w:pPr>
      <w:r>
        <w:t>Paradox hermeneutického kruhu – o tom, co má být poznání, už musím něco vědět. Poznání potom buď rozvíjí, obohacuje nebo koriguje a proměňuje předchozí porozumění. Poznání spočívá v tom, že se vždy proměňuje, buď radikálně přesvědčeno novou skutečností či argumentací, anebo potvrzuje původní názor, ale prohlubuje a specifikuje to dříve jenom tušené.</w:t>
      </w:r>
    </w:p>
    <w:p w:rsidR="001645FE" w:rsidRDefault="001645FE" w:rsidP="001645FE">
      <w:pPr>
        <w:pStyle w:val="Odstavecseseznamem"/>
        <w:numPr>
          <w:ilvl w:val="0"/>
          <w:numId w:val="1"/>
        </w:numPr>
        <w:jc w:val="left"/>
      </w:pPr>
      <w:r>
        <w:t>Kruh se nevrací do stejného, ale vede k hlubšímu porozumění.</w:t>
      </w:r>
    </w:p>
    <w:p w:rsidR="001645FE" w:rsidRDefault="001645FE" w:rsidP="001645FE">
      <w:pPr>
        <w:jc w:val="left"/>
      </w:pPr>
    </w:p>
    <w:p w:rsidR="001645FE" w:rsidRDefault="001645FE" w:rsidP="001645FE">
      <w:pPr>
        <w:jc w:val="left"/>
      </w:pPr>
      <w:r>
        <w:t>Str. 5</w:t>
      </w:r>
    </w:p>
    <w:p w:rsidR="001645FE" w:rsidRDefault="001645FE" w:rsidP="001645FE">
      <w:pPr>
        <w:jc w:val="left"/>
      </w:pPr>
    </w:p>
    <w:p w:rsidR="001645FE" w:rsidRPr="00B43451" w:rsidRDefault="001645FE" w:rsidP="001645FE">
      <w:pPr>
        <w:jc w:val="center"/>
        <w:rPr>
          <w:b/>
        </w:rPr>
      </w:pPr>
      <w:r>
        <w:rPr>
          <w:b/>
        </w:rPr>
        <w:lastRenderedPageBreak/>
        <w:t>P</w:t>
      </w:r>
      <w:r w:rsidRPr="00B43451">
        <w:rPr>
          <w:b/>
        </w:rPr>
        <w:t>ředsudek</w:t>
      </w:r>
      <w:r>
        <w:rPr>
          <w:b/>
        </w:rPr>
        <w:t xml:space="preserve"> jako předpoklad porozumění</w:t>
      </w:r>
    </w:p>
    <w:p w:rsidR="001645FE" w:rsidRPr="006C2630" w:rsidRDefault="001645FE" w:rsidP="001645FE">
      <w:pPr>
        <w:jc w:val="center"/>
        <w:rPr>
          <w:b/>
          <w:i/>
        </w:rPr>
      </w:pPr>
    </w:p>
    <w:p w:rsidR="001645FE" w:rsidRDefault="001645FE" w:rsidP="001645FE">
      <w:pPr>
        <w:pStyle w:val="Odstavecseseznamem"/>
        <w:numPr>
          <w:ilvl w:val="0"/>
          <w:numId w:val="1"/>
        </w:numPr>
        <w:jc w:val="left"/>
      </w:pPr>
      <w:r>
        <w:t>Předsudek (Vor-</w:t>
      </w:r>
      <w:proofErr w:type="spellStart"/>
      <w:r>
        <w:t>urteil</w:t>
      </w:r>
      <w:proofErr w:type="spellEnd"/>
      <w:r>
        <w:t>) je v hermeneutické tradici nikoli pouze překážkou, někdy může být i předpokladem poznání</w:t>
      </w:r>
    </w:p>
    <w:p w:rsidR="001645FE" w:rsidRDefault="001645FE" w:rsidP="001645FE">
      <w:pPr>
        <w:pStyle w:val="Odstavecseseznamem"/>
        <w:numPr>
          <w:ilvl w:val="0"/>
          <w:numId w:val="1"/>
        </w:numPr>
        <w:jc w:val="left"/>
      </w:pPr>
      <w:r>
        <w:t>Dějinnost v hermeneutické tradici je vyloučení nezúčastněného pohledu vnějšího pozorovatele</w:t>
      </w:r>
    </w:p>
    <w:p w:rsidR="001645FE" w:rsidRDefault="001645FE" w:rsidP="001645FE">
      <w:pPr>
        <w:pStyle w:val="Odstavecseseznamem"/>
        <w:numPr>
          <w:ilvl w:val="0"/>
          <w:numId w:val="1"/>
        </w:numPr>
        <w:jc w:val="left"/>
      </w:pPr>
      <w:r>
        <w:t>Dějinnost je vymezení vlastního postoje, sebe-porozumění a sebe-vymezení v časovém a dějinném kontextu</w:t>
      </w:r>
    </w:p>
    <w:p w:rsidR="001645FE" w:rsidRDefault="001645FE" w:rsidP="001645FE">
      <w:pPr>
        <w:pStyle w:val="Odstavecseseznamem"/>
        <w:numPr>
          <w:ilvl w:val="0"/>
          <w:numId w:val="1"/>
        </w:numPr>
        <w:jc w:val="left"/>
      </w:pPr>
      <w:r>
        <w:t>Před-</w:t>
      </w:r>
      <w:proofErr w:type="spellStart"/>
      <w:r>
        <w:t>sudky</w:t>
      </w:r>
      <w:proofErr w:type="spellEnd"/>
      <w:r>
        <w:t xml:space="preserve"> jsou vymezením toho, kým jsme</w:t>
      </w:r>
    </w:p>
    <w:p w:rsidR="001645FE" w:rsidRDefault="001645FE" w:rsidP="001645FE">
      <w:pPr>
        <w:pStyle w:val="Odstavecseseznamem"/>
        <w:numPr>
          <w:ilvl w:val="0"/>
          <w:numId w:val="1"/>
        </w:numPr>
        <w:jc w:val="left"/>
      </w:pPr>
      <w:r>
        <w:t>Hermeneutický postoj – vymezení toho, kdo věci „jako takové“ rozumí (generační určení, pohlaví, vzdělání atd.)</w:t>
      </w:r>
    </w:p>
    <w:p w:rsidR="001645FE" w:rsidRDefault="001645FE" w:rsidP="001645FE">
      <w:pPr>
        <w:jc w:val="left"/>
      </w:pPr>
    </w:p>
    <w:p w:rsidR="001645FE" w:rsidRDefault="001645FE" w:rsidP="001645FE">
      <w:pPr>
        <w:jc w:val="left"/>
      </w:pPr>
      <w:r>
        <w:t>Str. 6</w:t>
      </w:r>
    </w:p>
    <w:p w:rsidR="001645FE" w:rsidRDefault="001645FE" w:rsidP="001645FE">
      <w:pPr>
        <w:jc w:val="center"/>
        <w:rPr>
          <w:b/>
        </w:rPr>
      </w:pPr>
      <w:r>
        <w:rPr>
          <w:b/>
        </w:rPr>
        <w:t>Překážky porozumění</w:t>
      </w:r>
    </w:p>
    <w:p w:rsidR="001645FE" w:rsidRDefault="001645FE" w:rsidP="001645FE">
      <w:pPr>
        <w:jc w:val="center"/>
        <w:rPr>
          <w:b/>
        </w:rPr>
      </w:pPr>
    </w:p>
    <w:p w:rsidR="001645FE" w:rsidRPr="00CB3431" w:rsidRDefault="001645FE" w:rsidP="001645FE">
      <w:pPr>
        <w:pStyle w:val="Odstavecseseznamem"/>
        <w:numPr>
          <w:ilvl w:val="0"/>
          <w:numId w:val="1"/>
        </w:numPr>
        <w:jc w:val="left"/>
        <w:rPr>
          <w:b/>
        </w:rPr>
      </w:pPr>
      <w:r w:rsidRPr="00CB3431">
        <w:rPr>
          <w:snapToGrid w:val="0"/>
        </w:rPr>
        <w:t>to, na čem porozumění vázne</w:t>
      </w:r>
      <w:r>
        <w:rPr>
          <w:snapToGrid w:val="0"/>
        </w:rPr>
        <w:t>,</w:t>
      </w:r>
      <w:r w:rsidRPr="00CB3431">
        <w:rPr>
          <w:snapToGrid w:val="0"/>
        </w:rPr>
        <w:t xml:space="preserve"> Řekové ozn</w:t>
      </w:r>
      <w:r>
        <w:rPr>
          <w:snapToGrid w:val="0"/>
        </w:rPr>
        <w:t xml:space="preserve">ačovali jako </w:t>
      </w:r>
      <w:proofErr w:type="spellStart"/>
      <w:r w:rsidRPr="00CB3431">
        <w:rPr>
          <w:b/>
          <w:snapToGrid w:val="0"/>
        </w:rPr>
        <w:t>atopon</w:t>
      </w:r>
      <w:proofErr w:type="spellEnd"/>
      <w:r w:rsidRPr="00CB3431">
        <w:rPr>
          <w:b/>
          <w:snapToGrid w:val="0"/>
        </w:rPr>
        <w:t xml:space="preserve"> </w:t>
      </w:r>
      <w:r>
        <w:rPr>
          <w:snapToGrid w:val="0"/>
        </w:rPr>
        <w:t>(</w:t>
      </w:r>
      <w:r w:rsidRPr="00CB3431">
        <w:rPr>
          <w:snapToGrid w:val="0"/>
        </w:rPr>
        <w:t>„nemístné“</w:t>
      </w:r>
      <w:r>
        <w:rPr>
          <w:snapToGrid w:val="0"/>
        </w:rPr>
        <w:t>)</w:t>
      </w:r>
    </w:p>
    <w:p w:rsidR="001645FE" w:rsidRPr="00CB3431" w:rsidRDefault="001645FE" w:rsidP="001645FE">
      <w:pPr>
        <w:pStyle w:val="Odstavecseseznamem"/>
        <w:numPr>
          <w:ilvl w:val="0"/>
          <w:numId w:val="1"/>
        </w:numPr>
        <w:jc w:val="left"/>
        <w:rPr>
          <w:b/>
        </w:rPr>
      </w:pPr>
      <w:r w:rsidRPr="00CB3431">
        <w:rPr>
          <w:snapToGrid w:val="0"/>
        </w:rPr>
        <w:t xml:space="preserve"> to, co nemůžeme umístit do schémat našeho rozumějícíh</w:t>
      </w:r>
      <w:r>
        <w:rPr>
          <w:snapToGrid w:val="0"/>
        </w:rPr>
        <w:t>o očekávání, na čem se zarazíme</w:t>
      </w:r>
    </w:p>
    <w:p w:rsidR="001645FE" w:rsidRPr="00CB3431" w:rsidRDefault="001645FE" w:rsidP="001645FE">
      <w:pPr>
        <w:pStyle w:val="Odstavecseseznamem"/>
        <w:numPr>
          <w:ilvl w:val="0"/>
          <w:numId w:val="1"/>
        </w:numPr>
        <w:jc w:val="left"/>
        <w:rPr>
          <w:b/>
        </w:rPr>
      </w:pPr>
      <w:r>
        <w:rPr>
          <w:snapToGrid w:val="0"/>
        </w:rPr>
        <w:t xml:space="preserve"> z</w:t>
      </w:r>
      <w:r w:rsidRPr="00CB3431">
        <w:rPr>
          <w:snapToGrid w:val="0"/>
        </w:rPr>
        <w:t xml:space="preserve">de se nově ustavuje funkce hermeneutiky v humanitních vědách. </w:t>
      </w:r>
    </w:p>
    <w:p w:rsidR="001645FE" w:rsidRPr="00CB3431" w:rsidRDefault="001645FE" w:rsidP="001645FE">
      <w:pPr>
        <w:pStyle w:val="Odstavecseseznamem"/>
        <w:numPr>
          <w:ilvl w:val="0"/>
          <w:numId w:val="1"/>
        </w:numPr>
        <w:jc w:val="left"/>
        <w:rPr>
          <w:b/>
        </w:rPr>
      </w:pPr>
      <w:r>
        <w:rPr>
          <w:snapToGrid w:val="0"/>
        </w:rPr>
        <w:t>p</w:t>
      </w:r>
      <w:r w:rsidRPr="00CB3431">
        <w:rPr>
          <w:snapToGrid w:val="0"/>
        </w:rPr>
        <w:t>orozumět gestu či mimickému výrazu znamená víc než jen přímo</w:t>
      </w:r>
      <w:r>
        <w:rPr>
          <w:snapToGrid w:val="0"/>
        </w:rPr>
        <w:t xml:space="preserve"> zachytit bezprostřední význam</w:t>
      </w:r>
    </w:p>
    <w:p w:rsidR="001645FE" w:rsidRPr="00CB3431" w:rsidRDefault="001645FE" w:rsidP="001645FE">
      <w:pPr>
        <w:pStyle w:val="Odstavecseseznamem"/>
        <w:numPr>
          <w:ilvl w:val="0"/>
          <w:numId w:val="1"/>
        </w:numPr>
        <w:jc w:val="left"/>
        <w:rPr>
          <w:b/>
        </w:rPr>
      </w:pPr>
      <w:r w:rsidRPr="00CB3431">
        <w:rPr>
          <w:snapToGrid w:val="0"/>
        </w:rPr>
        <w:t xml:space="preserve">skutečně porozumět znamená </w:t>
      </w:r>
      <w:r w:rsidRPr="00CB3431">
        <w:rPr>
          <w:i/>
          <w:snapToGrid w:val="0"/>
        </w:rPr>
        <w:t>„vytvořit z vlastních možností nějaký projek</w:t>
      </w:r>
      <w:r w:rsidRPr="00CB3431">
        <w:rPr>
          <w:snapToGrid w:val="0"/>
        </w:rPr>
        <w:t>t</w:t>
      </w:r>
      <w:r>
        <w:rPr>
          <w:snapToGrid w:val="0"/>
        </w:rPr>
        <w:t>“</w:t>
      </w:r>
      <w:r w:rsidRPr="00CB3431">
        <w:rPr>
          <w:snapToGrid w:val="0"/>
        </w:rPr>
        <w:t xml:space="preserve"> (</w:t>
      </w:r>
      <w:proofErr w:type="spellStart"/>
      <w:r>
        <w:rPr>
          <w:snapToGrid w:val="0"/>
        </w:rPr>
        <w:t>Gadamer</w:t>
      </w:r>
      <w:proofErr w:type="spellEnd"/>
      <w:r w:rsidRPr="00CB3431">
        <w:rPr>
          <w:snapToGrid w:val="0"/>
        </w:rPr>
        <w:t>)</w:t>
      </w:r>
    </w:p>
    <w:p w:rsidR="001645FE" w:rsidRPr="00CB3431" w:rsidRDefault="001645FE" w:rsidP="001645FE">
      <w:pPr>
        <w:pStyle w:val="Odstavecseseznamem"/>
        <w:numPr>
          <w:ilvl w:val="0"/>
          <w:numId w:val="1"/>
        </w:numPr>
        <w:jc w:val="left"/>
      </w:pPr>
      <w:r>
        <w:rPr>
          <w:snapToGrid w:val="0"/>
        </w:rPr>
        <w:t xml:space="preserve">porozumění neznamená vcítění do autora, není založeno na vyšší či nižší míře </w:t>
      </w:r>
      <w:proofErr w:type="gramStart"/>
      <w:r>
        <w:rPr>
          <w:snapToGrid w:val="0"/>
        </w:rPr>
        <w:t>ztotožnění  -</w:t>
      </w:r>
      <w:proofErr w:type="gramEnd"/>
      <w:r>
        <w:rPr>
          <w:snapToGrid w:val="0"/>
        </w:rPr>
        <w:t xml:space="preserve"> čtenář, interpret, historik </w:t>
      </w:r>
      <w:r w:rsidRPr="00CB3431">
        <w:rPr>
          <w:b/>
          <w:snapToGrid w:val="0"/>
        </w:rPr>
        <w:t>rozumí vždy jinak</w:t>
      </w:r>
      <w:r>
        <w:rPr>
          <w:b/>
          <w:snapToGrid w:val="0"/>
        </w:rPr>
        <w:t xml:space="preserve"> </w:t>
      </w:r>
      <w:r w:rsidRPr="00CB3431">
        <w:rPr>
          <w:snapToGrid w:val="0"/>
        </w:rPr>
        <w:t>(„čte“ autory brýlemi vlastních předsudků)</w:t>
      </w:r>
    </w:p>
    <w:p w:rsidR="001645FE" w:rsidRDefault="001645FE" w:rsidP="001645FE">
      <w:pPr>
        <w:jc w:val="left"/>
      </w:pPr>
    </w:p>
    <w:p w:rsidR="001645FE" w:rsidRDefault="001645FE" w:rsidP="001645FE">
      <w:pPr>
        <w:jc w:val="left"/>
      </w:pPr>
      <w:r>
        <w:t>Str. 7</w:t>
      </w:r>
    </w:p>
    <w:p w:rsidR="001645FE" w:rsidRDefault="001645FE" w:rsidP="001645FE">
      <w:pPr>
        <w:jc w:val="center"/>
        <w:rPr>
          <w:b/>
        </w:rPr>
      </w:pPr>
      <w:r>
        <w:rPr>
          <w:b/>
        </w:rPr>
        <w:t>Porozumění a tradice</w:t>
      </w:r>
    </w:p>
    <w:p w:rsidR="001645FE" w:rsidRDefault="001645FE" w:rsidP="001645FE">
      <w:pPr>
        <w:jc w:val="center"/>
        <w:rPr>
          <w:b/>
        </w:rPr>
      </w:pPr>
    </w:p>
    <w:p w:rsidR="001645FE" w:rsidRPr="000C7C9D" w:rsidRDefault="001645FE" w:rsidP="001645FE">
      <w:pPr>
        <w:pStyle w:val="Odstavecseseznamem"/>
        <w:numPr>
          <w:ilvl w:val="0"/>
          <w:numId w:val="1"/>
        </w:numPr>
        <w:rPr>
          <w:snapToGrid w:val="0"/>
        </w:rPr>
      </w:pPr>
      <w:r w:rsidRPr="000C7C9D">
        <w:rPr>
          <w:snapToGrid w:val="0"/>
        </w:rPr>
        <w:t xml:space="preserve">Moderní hermeneutika radikálně odmítla poznání založené na předpokládané homogenitě </w:t>
      </w:r>
      <w:r>
        <w:rPr>
          <w:snapToGrid w:val="0"/>
        </w:rPr>
        <w:t xml:space="preserve">poznávajícího a poznávaného. </w:t>
      </w:r>
    </w:p>
    <w:p w:rsidR="001645FE" w:rsidRPr="000C7C9D" w:rsidRDefault="001645FE" w:rsidP="001645FE">
      <w:pPr>
        <w:pStyle w:val="Odstavecseseznamem"/>
        <w:numPr>
          <w:ilvl w:val="0"/>
          <w:numId w:val="1"/>
        </w:numPr>
        <w:rPr>
          <w:snapToGrid w:val="0"/>
        </w:rPr>
      </w:pPr>
      <w:proofErr w:type="spellStart"/>
      <w:r w:rsidRPr="000C7C9D">
        <w:rPr>
          <w:snapToGrid w:val="0"/>
        </w:rPr>
        <w:t>Gadamer</w:t>
      </w:r>
      <w:proofErr w:type="spellEnd"/>
      <w:r w:rsidRPr="000C7C9D">
        <w:rPr>
          <w:snapToGrid w:val="0"/>
        </w:rPr>
        <w:t xml:space="preserve"> říká: </w:t>
      </w:r>
      <w:r w:rsidRPr="000C7C9D">
        <w:rPr>
          <w:i/>
          <w:snapToGrid w:val="0"/>
        </w:rPr>
        <w:t>„Společný vztah poznávajícího a poznávaného, jistá „afinita“, jež je spojuje, není založena na ekvivalenci jejich způsobu bytí, nýbrž na tom, čím jest tento způsob bytí. To znamená, že poznávané ani poznávající se jen tak „onticky“ nevyskytují, nýbrž, že jsou „dějinné“,</w:t>
      </w:r>
      <w:r w:rsidRPr="000C7C9D">
        <w:rPr>
          <w:snapToGrid w:val="0"/>
        </w:rPr>
        <w:t xml:space="preserve"> </w:t>
      </w:r>
      <w:r w:rsidRPr="000C7C9D">
        <w:rPr>
          <w:i/>
          <w:snapToGrid w:val="0"/>
        </w:rPr>
        <w:t>čili mají způsob bytí dějinnosti.“</w:t>
      </w:r>
      <w:r w:rsidRPr="000C7C9D">
        <w:rPr>
          <w:snapToGrid w:val="0"/>
        </w:rPr>
        <w:t xml:space="preserve"> </w:t>
      </w:r>
    </w:p>
    <w:p w:rsidR="001645FE" w:rsidRDefault="001645FE" w:rsidP="001645FE">
      <w:pPr>
        <w:pStyle w:val="Odstavecseseznamem"/>
        <w:numPr>
          <w:ilvl w:val="0"/>
          <w:numId w:val="1"/>
        </w:numPr>
        <w:rPr>
          <w:snapToGrid w:val="0"/>
        </w:rPr>
      </w:pPr>
      <w:proofErr w:type="gramStart"/>
      <w:r>
        <w:rPr>
          <w:snapToGrid w:val="0"/>
        </w:rPr>
        <w:t>D</w:t>
      </w:r>
      <w:r w:rsidRPr="000C7C9D">
        <w:rPr>
          <w:snapToGrid w:val="0"/>
        </w:rPr>
        <w:t xml:space="preserve">ějinnost </w:t>
      </w:r>
      <w:r>
        <w:rPr>
          <w:snapToGrid w:val="0"/>
        </w:rPr>
        <w:t xml:space="preserve">- </w:t>
      </w:r>
      <w:r w:rsidRPr="000C7C9D">
        <w:rPr>
          <w:snapToGrid w:val="0"/>
        </w:rPr>
        <w:t>znamená</w:t>
      </w:r>
      <w:proofErr w:type="gramEnd"/>
      <w:r w:rsidRPr="000C7C9D">
        <w:rPr>
          <w:snapToGrid w:val="0"/>
        </w:rPr>
        <w:t xml:space="preserve"> odmítání naivního následování nějaké tradice nebo celku tradičně přijímaných pravd. </w:t>
      </w:r>
    </w:p>
    <w:p w:rsidR="001645FE" w:rsidRDefault="001645FE" w:rsidP="001645FE">
      <w:pPr>
        <w:pStyle w:val="Odstavecseseznamem"/>
        <w:numPr>
          <w:ilvl w:val="0"/>
          <w:numId w:val="1"/>
        </w:numPr>
        <w:rPr>
          <w:snapToGrid w:val="0"/>
        </w:rPr>
      </w:pPr>
      <w:r w:rsidRPr="000C7C9D">
        <w:rPr>
          <w:snapToGrid w:val="0"/>
        </w:rPr>
        <w:t>Pro dějinné vědomí je typické, že zaujímá ke všemu, co je mu předáno tra</w:t>
      </w:r>
      <w:r>
        <w:rPr>
          <w:snapToGrid w:val="0"/>
        </w:rPr>
        <w:t xml:space="preserve">dicí </w:t>
      </w:r>
      <w:r w:rsidRPr="000C7C9D">
        <w:rPr>
          <w:b/>
          <w:snapToGrid w:val="0"/>
        </w:rPr>
        <w:t>reflexívní postoj</w:t>
      </w:r>
      <w:r>
        <w:rPr>
          <w:snapToGrid w:val="0"/>
        </w:rPr>
        <w:t>.</w:t>
      </w:r>
    </w:p>
    <w:p w:rsidR="001645FE" w:rsidRPr="000C7C9D" w:rsidRDefault="001645FE" w:rsidP="001645FE">
      <w:pPr>
        <w:pStyle w:val="Odstavecseseznamem"/>
        <w:numPr>
          <w:ilvl w:val="0"/>
          <w:numId w:val="1"/>
        </w:numPr>
        <w:rPr>
          <w:snapToGrid w:val="0"/>
        </w:rPr>
      </w:pPr>
      <w:r w:rsidRPr="000C7C9D">
        <w:rPr>
          <w:i/>
          <w:snapToGrid w:val="0"/>
        </w:rPr>
        <w:t xml:space="preserve"> „…dějinné vědomí nenaslouchá zbožně hlasu z minulosti, nýbrž přemýšlí o něm a zasazuje ho zpět do kontextu, z něhož vyrostl, aby zjistilo jeho relativní význam a hodnotu, jež mu přísluší.“</w:t>
      </w:r>
    </w:p>
    <w:p w:rsidR="001645FE" w:rsidRDefault="001645FE" w:rsidP="001645FE">
      <w:pPr>
        <w:rPr>
          <w:snapToGrid w:val="0"/>
        </w:rPr>
      </w:pPr>
    </w:p>
    <w:p w:rsidR="001645FE" w:rsidRDefault="001645FE" w:rsidP="001645FE">
      <w:pPr>
        <w:rPr>
          <w:snapToGrid w:val="0"/>
        </w:rPr>
      </w:pPr>
    </w:p>
    <w:p w:rsidR="001645FE" w:rsidRDefault="001645FE" w:rsidP="001645FE">
      <w:pPr>
        <w:rPr>
          <w:snapToGrid w:val="0"/>
        </w:rPr>
      </w:pPr>
      <w:r>
        <w:rPr>
          <w:snapToGrid w:val="0"/>
        </w:rPr>
        <w:t>Str. 8</w:t>
      </w:r>
    </w:p>
    <w:p w:rsidR="001645FE" w:rsidRDefault="001645FE" w:rsidP="001645FE">
      <w:pPr>
        <w:jc w:val="center"/>
        <w:rPr>
          <w:b/>
          <w:snapToGrid w:val="0"/>
        </w:rPr>
      </w:pPr>
      <w:r w:rsidRPr="000C7C9D">
        <w:rPr>
          <w:b/>
          <w:snapToGrid w:val="0"/>
        </w:rPr>
        <w:t>Sdílení tradice</w:t>
      </w:r>
      <w:r>
        <w:rPr>
          <w:b/>
          <w:snapToGrid w:val="0"/>
        </w:rPr>
        <w:t xml:space="preserve"> a soudržnost společenství</w:t>
      </w:r>
    </w:p>
    <w:p w:rsidR="001645FE" w:rsidRPr="000C7C9D" w:rsidRDefault="001645FE" w:rsidP="001645FE">
      <w:pPr>
        <w:jc w:val="center"/>
        <w:rPr>
          <w:b/>
          <w:snapToGrid w:val="0"/>
        </w:rPr>
      </w:pPr>
    </w:p>
    <w:p w:rsidR="001645FE" w:rsidRPr="003B51CF" w:rsidRDefault="001645FE" w:rsidP="001645FE">
      <w:pPr>
        <w:pStyle w:val="Odstavecseseznamem"/>
        <w:numPr>
          <w:ilvl w:val="0"/>
          <w:numId w:val="1"/>
        </w:numPr>
        <w:rPr>
          <w:snapToGrid w:val="0"/>
        </w:rPr>
      </w:pPr>
      <w:r>
        <w:rPr>
          <w:snapToGrid w:val="0"/>
        </w:rPr>
        <w:t>l</w:t>
      </w:r>
      <w:r w:rsidRPr="003B51CF">
        <w:rPr>
          <w:snapToGrid w:val="0"/>
        </w:rPr>
        <w:t xml:space="preserve">atinské </w:t>
      </w:r>
      <w:r>
        <w:rPr>
          <w:snapToGrid w:val="0"/>
        </w:rPr>
        <w:t>„</w:t>
      </w:r>
      <w:proofErr w:type="spellStart"/>
      <w:r w:rsidRPr="003B51CF">
        <w:rPr>
          <w:snapToGrid w:val="0"/>
        </w:rPr>
        <w:t>trado</w:t>
      </w:r>
      <w:proofErr w:type="spellEnd"/>
      <w:r>
        <w:rPr>
          <w:snapToGrid w:val="0"/>
        </w:rPr>
        <w:t>“</w:t>
      </w:r>
      <w:r w:rsidRPr="003B51CF">
        <w:rPr>
          <w:snapToGrid w:val="0"/>
        </w:rPr>
        <w:t xml:space="preserve"> znamená dávat, odevzdávat, přenechávat, dále potom odkazovat, též odevzdáva</w:t>
      </w:r>
      <w:r>
        <w:rPr>
          <w:snapToGrid w:val="0"/>
        </w:rPr>
        <w:t>t v ochranu, svěřovat, vydávat</w:t>
      </w:r>
    </w:p>
    <w:p w:rsidR="001645FE" w:rsidRDefault="001645FE" w:rsidP="001645FE">
      <w:pPr>
        <w:pStyle w:val="Odstavecseseznamem"/>
        <w:numPr>
          <w:ilvl w:val="0"/>
          <w:numId w:val="1"/>
        </w:numPr>
        <w:rPr>
          <w:snapToGrid w:val="0"/>
        </w:rPr>
      </w:pPr>
      <w:r w:rsidRPr="003B51CF">
        <w:rPr>
          <w:snapToGrid w:val="0"/>
        </w:rPr>
        <w:lastRenderedPageBreak/>
        <w:t>dějinné vědomí nemůže odstoupit, „osvobodit“ se od tradice</w:t>
      </w:r>
    </w:p>
    <w:p w:rsidR="001645FE" w:rsidRDefault="001645FE" w:rsidP="001645FE">
      <w:pPr>
        <w:pStyle w:val="Odstavecseseznamem"/>
        <w:numPr>
          <w:ilvl w:val="0"/>
          <w:numId w:val="1"/>
        </w:numPr>
        <w:rPr>
          <w:snapToGrid w:val="0"/>
        </w:rPr>
      </w:pPr>
      <w:r>
        <w:rPr>
          <w:snapToGrid w:val="0"/>
        </w:rPr>
        <w:t>h</w:t>
      </w:r>
      <w:r w:rsidRPr="003B51CF">
        <w:rPr>
          <w:snapToGrid w:val="0"/>
        </w:rPr>
        <w:t>umanitní vědy jsou dějinné, vyrůstají z tradice – my jako dějinné bytosti v sobě neseme pečeť minulosti (jako je náš způsob západního myšlení, jako je řeč, jako je schopnost usmrcování tradice nebo naopak její znovuoživování, vyhasínání, pomalá eroze u</w:t>
      </w:r>
      <w:r>
        <w:rPr>
          <w:snapToGrid w:val="0"/>
        </w:rPr>
        <w:t>držovaného, paměť a zapomínání)</w:t>
      </w:r>
      <w:r w:rsidRPr="003B51CF">
        <w:rPr>
          <w:snapToGrid w:val="0"/>
        </w:rPr>
        <w:t xml:space="preserve"> </w:t>
      </w:r>
    </w:p>
    <w:p w:rsidR="001645FE" w:rsidRDefault="001645FE" w:rsidP="001645FE">
      <w:pPr>
        <w:pStyle w:val="Odstavecseseznamem"/>
        <w:numPr>
          <w:ilvl w:val="0"/>
          <w:numId w:val="1"/>
        </w:numPr>
        <w:rPr>
          <w:snapToGrid w:val="0"/>
        </w:rPr>
      </w:pPr>
      <w:r>
        <w:rPr>
          <w:snapToGrid w:val="0"/>
        </w:rPr>
        <w:t>k</w:t>
      </w:r>
      <w:r w:rsidRPr="003B51CF">
        <w:rPr>
          <w:snapToGrid w:val="0"/>
        </w:rPr>
        <w:t> udržení tradice musí být znovu překračován generační práh, k tomu musí směřovat přání po opakování u starých a ochota a p</w:t>
      </w:r>
      <w:r>
        <w:rPr>
          <w:snapToGrid w:val="0"/>
        </w:rPr>
        <w:t>řipravenost k přijetí u mladých</w:t>
      </w:r>
    </w:p>
    <w:p w:rsidR="001645FE" w:rsidRDefault="001645FE" w:rsidP="001645FE">
      <w:pPr>
        <w:pStyle w:val="Odstavecseseznamem"/>
        <w:numPr>
          <w:ilvl w:val="0"/>
          <w:numId w:val="1"/>
        </w:numPr>
        <w:rPr>
          <w:snapToGrid w:val="0"/>
        </w:rPr>
      </w:pPr>
      <w:r>
        <w:rPr>
          <w:snapToGrid w:val="0"/>
        </w:rPr>
        <w:t>sdílení tradice je</w:t>
      </w:r>
      <w:r w:rsidRPr="003B51CF">
        <w:rPr>
          <w:snapToGrid w:val="0"/>
        </w:rPr>
        <w:t xml:space="preserve"> výrazem soudržnosti a solidarity společenství. </w:t>
      </w:r>
    </w:p>
    <w:p w:rsidR="001645FE" w:rsidRPr="003B51CF" w:rsidRDefault="001645FE" w:rsidP="001645FE">
      <w:pPr>
        <w:pStyle w:val="Odstavecseseznamem"/>
        <w:numPr>
          <w:ilvl w:val="0"/>
          <w:numId w:val="1"/>
        </w:numPr>
        <w:rPr>
          <w:snapToGrid w:val="0"/>
        </w:rPr>
      </w:pPr>
      <w:r>
        <w:rPr>
          <w:snapToGrid w:val="0"/>
        </w:rPr>
        <w:t>a</w:t>
      </w:r>
      <w:r w:rsidRPr="003B51CF">
        <w:rPr>
          <w:snapToGrid w:val="0"/>
        </w:rPr>
        <w:t>utentický postoj dějinné bytosti je takový, v němž jde o „kulturu“ tradice ve smyslu „kultivování“, nikoli pouhého návratu k počátkům, udržování, tradování, ale především pokračování, rozvíjení, rezonování, spontánního a produktivního osvojení pře</w:t>
      </w:r>
      <w:r>
        <w:rPr>
          <w:snapToGrid w:val="0"/>
        </w:rPr>
        <w:t>daných obsahů</w:t>
      </w:r>
    </w:p>
    <w:p w:rsidR="001645FE" w:rsidRPr="000C7C9D" w:rsidRDefault="001645FE" w:rsidP="001645FE">
      <w:pPr>
        <w:jc w:val="center"/>
        <w:rPr>
          <w:b/>
          <w:snapToGrid w:val="0"/>
        </w:rPr>
      </w:pPr>
    </w:p>
    <w:p w:rsidR="001645FE" w:rsidRDefault="001645FE" w:rsidP="001645FE">
      <w:pPr>
        <w:jc w:val="left"/>
      </w:pPr>
    </w:p>
    <w:p w:rsidR="001645FE" w:rsidRPr="000C7C9D" w:rsidRDefault="001645FE" w:rsidP="001645FE">
      <w:pPr>
        <w:jc w:val="left"/>
      </w:pPr>
      <w:r>
        <w:t>Str. 9</w:t>
      </w:r>
    </w:p>
    <w:p w:rsidR="001645FE" w:rsidRDefault="001645FE" w:rsidP="001645FE">
      <w:pPr>
        <w:jc w:val="center"/>
        <w:rPr>
          <w:b/>
        </w:rPr>
      </w:pPr>
      <w:r w:rsidRPr="00CB3431">
        <w:rPr>
          <w:b/>
        </w:rPr>
        <w:t>Hermeneutika ve výchově</w:t>
      </w:r>
    </w:p>
    <w:p w:rsidR="001645FE" w:rsidRDefault="001645FE" w:rsidP="001645FE">
      <w:pPr>
        <w:jc w:val="center"/>
        <w:rPr>
          <w:b/>
        </w:rPr>
      </w:pPr>
    </w:p>
    <w:p w:rsidR="001645FE" w:rsidRDefault="001645FE" w:rsidP="001645FE">
      <w:pPr>
        <w:pStyle w:val="Odstavecseseznamem"/>
        <w:numPr>
          <w:ilvl w:val="0"/>
          <w:numId w:val="1"/>
        </w:numPr>
        <w:jc w:val="left"/>
      </w:pPr>
      <w:proofErr w:type="spellStart"/>
      <w:r w:rsidRPr="00CB3431">
        <w:t>Gadamer</w:t>
      </w:r>
      <w:proofErr w:type="spellEnd"/>
      <w:r>
        <w:t xml:space="preserve">: </w:t>
      </w:r>
      <w:proofErr w:type="spellStart"/>
      <w:r w:rsidRPr="003B51CF">
        <w:rPr>
          <w:i/>
        </w:rPr>
        <w:t>Erziehung</w:t>
      </w:r>
      <w:proofErr w:type="spellEnd"/>
      <w:r w:rsidRPr="003B51CF">
        <w:rPr>
          <w:i/>
        </w:rPr>
        <w:t xml:space="preserve"> </w:t>
      </w:r>
      <w:proofErr w:type="spellStart"/>
      <w:r w:rsidRPr="003B51CF">
        <w:rPr>
          <w:i/>
        </w:rPr>
        <w:t>ist</w:t>
      </w:r>
      <w:proofErr w:type="spellEnd"/>
      <w:r w:rsidRPr="003B51CF">
        <w:rPr>
          <w:i/>
        </w:rPr>
        <w:t xml:space="preserve"> </w:t>
      </w:r>
      <w:proofErr w:type="spellStart"/>
      <w:r w:rsidRPr="003B51CF">
        <w:rPr>
          <w:i/>
        </w:rPr>
        <w:t>sich</w:t>
      </w:r>
      <w:proofErr w:type="spellEnd"/>
      <w:r w:rsidRPr="003B51CF">
        <w:rPr>
          <w:i/>
        </w:rPr>
        <w:t xml:space="preserve"> </w:t>
      </w:r>
      <w:proofErr w:type="spellStart"/>
      <w:r w:rsidRPr="003B51CF">
        <w:rPr>
          <w:i/>
        </w:rPr>
        <w:t>erziehen</w:t>
      </w:r>
      <w:proofErr w:type="spellEnd"/>
      <w:r w:rsidRPr="003B51CF">
        <w:rPr>
          <w:i/>
        </w:rPr>
        <w:t xml:space="preserve"> </w:t>
      </w:r>
      <w:r>
        <w:t>(Výchova je vychovávat se)</w:t>
      </w:r>
    </w:p>
    <w:p w:rsidR="001645FE" w:rsidRDefault="001645FE" w:rsidP="001645FE">
      <w:pPr>
        <w:pStyle w:val="Odstavecseseznamem"/>
        <w:numPr>
          <w:ilvl w:val="0"/>
          <w:numId w:val="1"/>
        </w:numPr>
        <w:jc w:val="left"/>
      </w:pPr>
      <w:r>
        <w:t>Výchova není chápana jako vztah mezi dospělými a dětmi, zkušeným a nezkušeným, vzdělaným a nevzdělaným, svobodným a závislým</w:t>
      </w:r>
    </w:p>
    <w:p w:rsidR="001645FE" w:rsidRDefault="001645FE" w:rsidP="001645FE">
      <w:pPr>
        <w:pStyle w:val="Odstavecseseznamem"/>
        <w:numPr>
          <w:ilvl w:val="0"/>
          <w:numId w:val="1"/>
        </w:numPr>
        <w:jc w:val="left"/>
      </w:pPr>
      <w:r>
        <w:t>Výchova je založena na solidaritě generací</w:t>
      </w:r>
    </w:p>
    <w:p w:rsidR="001645FE" w:rsidRDefault="001645FE" w:rsidP="001645FE">
      <w:pPr>
        <w:pStyle w:val="Odstavecseseznamem"/>
        <w:numPr>
          <w:ilvl w:val="0"/>
          <w:numId w:val="1"/>
        </w:numPr>
        <w:jc w:val="left"/>
      </w:pPr>
      <w:r>
        <w:t>Jejím úkolem je navázat na tradici a udržovat ji a zároveň překračovat k nové, nedané budoucnosti</w:t>
      </w:r>
    </w:p>
    <w:p w:rsidR="001645FE" w:rsidRDefault="001645FE" w:rsidP="001645FE">
      <w:pPr>
        <w:jc w:val="left"/>
      </w:pPr>
    </w:p>
    <w:p w:rsidR="001645FE" w:rsidRDefault="001645FE" w:rsidP="001645FE">
      <w:pPr>
        <w:jc w:val="left"/>
      </w:pPr>
      <w:r>
        <w:t>Str. 10</w:t>
      </w:r>
    </w:p>
    <w:p w:rsidR="001645FE" w:rsidRDefault="001645FE" w:rsidP="001645FE">
      <w:pPr>
        <w:jc w:val="center"/>
        <w:rPr>
          <w:b/>
        </w:rPr>
      </w:pPr>
      <w:r>
        <w:rPr>
          <w:b/>
        </w:rPr>
        <w:t>Výchova v hermeneutice</w:t>
      </w:r>
    </w:p>
    <w:p w:rsidR="001645FE" w:rsidRPr="003B51CF" w:rsidRDefault="001645FE" w:rsidP="001645FE">
      <w:pPr>
        <w:jc w:val="center"/>
        <w:rPr>
          <w:b/>
        </w:rPr>
      </w:pPr>
    </w:p>
    <w:p w:rsidR="001645FE" w:rsidRDefault="001645FE" w:rsidP="001645FE">
      <w:pPr>
        <w:pStyle w:val="Odstavecseseznamem"/>
        <w:numPr>
          <w:ilvl w:val="0"/>
          <w:numId w:val="1"/>
        </w:numPr>
        <w:jc w:val="left"/>
      </w:pPr>
      <w:r>
        <w:t>Hermeneuticky vzato je výchova kontinuitou a diskontinuitou.</w:t>
      </w:r>
    </w:p>
    <w:p w:rsidR="001645FE" w:rsidRDefault="001645FE" w:rsidP="001645FE">
      <w:pPr>
        <w:pStyle w:val="Odstavecseseznamem"/>
        <w:numPr>
          <w:ilvl w:val="0"/>
          <w:numId w:val="1"/>
        </w:numPr>
        <w:jc w:val="left"/>
      </w:pPr>
      <w:r>
        <w:t>Výchova je symetrickým a asymetrickým vztahem.</w:t>
      </w:r>
    </w:p>
    <w:p w:rsidR="001645FE" w:rsidRDefault="001645FE" w:rsidP="001645FE">
      <w:pPr>
        <w:pStyle w:val="Odstavecseseznamem"/>
        <w:numPr>
          <w:ilvl w:val="0"/>
          <w:numId w:val="1"/>
        </w:numPr>
        <w:jc w:val="left"/>
      </w:pPr>
      <w:r>
        <w:t>Výchova je vztahem ke světu, ke společnosti a k sobě samému.</w:t>
      </w:r>
    </w:p>
    <w:p w:rsidR="001645FE" w:rsidRDefault="001645FE" w:rsidP="001645FE">
      <w:pPr>
        <w:pStyle w:val="Odstavecseseznamem"/>
        <w:numPr>
          <w:ilvl w:val="0"/>
          <w:numId w:val="1"/>
        </w:numPr>
        <w:jc w:val="left"/>
      </w:pPr>
      <w:r>
        <w:t>Výchova je cesta ke svobodě a samostatnosti člověka.</w:t>
      </w:r>
    </w:p>
    <w:p w:rsidR="001645FE" w:rsidRDefault="001645FE" w:rsidP="001645FE">
      <w:pPr>
        <w:pStyle w:val="Odstavecseseznamem"/>
        <w:numPr>
          <w:ilvl w:val="0"/>
          <w:numId w:val="1"/>
        </w:numPr>
        <w:jc w:val="left"/>
      </w:pPr>
      <w:r>
        <w:t>Výchova směřuje k tomu, aby ten, kdo je vychováván, už výchovu nepotřeboval.</w:t>
      </w:r>
    </w:p>
    <w:p w:rsidR="001645FE" w:rsidRPr="00CB3431" w:rsidRDefault="001645FE" w:rsidP="001645FE">
      <w:pPr>
        <w:pStyle w:val="Odstavecseseznamem"/>
        <w:numPr>
          <w:ilvl w:val="0"/>
          <w:numId w:val="1"/>
        </w:numPr>
        <w:jc w:val="left"/>
      </w:pPr>
      <w:r>
        <w:t>Výchova směřuje k tomu, aby se ten závislý stal nezávislým (aby se z nemluvněte stal partner v dialogu, z dětí, aby se stali přátelé a potom opatrovníci svých rodičů, aby se z žáka stal kolega a z učedníka spolupracovník svého mistra).</w:t>
      </w:r>
    </w:p>
    <w:p w:rsidR="001645FE" w:rsidRPr="00CB3431" w:rsidRDefault="001645FE" w:rsidP="001645FE">
      <w:pPr>
        <w:jc w:val="left"/>
        <w:rPr>
          <w:b/>
        </w:rPr>
      </w:pPr>
    </w:p>
    <w:p w:rsidR="001645FE" w:rsidRDefault="001645FE" w:rsidP="001645FE">
      <w:pPr>
        <w:jc w:val="left"/>
      </w:pPr>
      <w:r>
        <w:t>Literatura doporučená:</w:t>
      </w:r>
    </w:p>
    <w:p w:rsidR="001645FE" w:rsidRDefault="001645FE" w:rsidP="001645FE">
      <w:pPr>
        <w:jc w:val="left"/>
      </w:pPr>
      <w:r>
        <w:rPr>
          <w:caps/>
        </w:rPr>
        <w:t>Pelcová</w:t>
      </w:r>
      <w:r>
        <w:t xml:space="preserve">, Naděžda. </w:t>
      </w:r>
      <w:r>
        <w:rPr>
          <w:i/>
          <w:iCs/>
        </w:rPr>
        <w:t>Filozofická a pedagogická antropologie</w:t>
      </w:r>
      <w:r>
        <w:t>. Vyd. 1. Praha: Karolinum, 2000. 201 s. ISBN 80-246-0076-5.</w:t>
      </w:r>
    </w:p>
    <w:p w:rsidR="001645FE" w:rsidRDefault="001645FE" w:rsidP="001645FE">
      <w:pPr>
        <w:jc w:val="left"/>
      </w:pPr>
      <w:r>
        <w:rPr>
          <w:caps/>
        </w:rPr>
        <w:t>Pelcová</w:t>
      </w:r>
      <w:r>
        <w:t xml:space="preserve">, Naděžda. </w:t>
      </w:r>
      <w:r>
        <w:rPr>
          <w:i/>
          <w:iCs/>
        </w:rPr>
        <w:t xml:space="preserve">Wilhelm </w:t>
      </w:r>
      <w:proofErr w:type="spellStart"/>
      <w:r>
        <w:rPr>
          <w:i/>
          <w:iCs/>
        </w:rPr>
        <w:t>Dilthey</w:t>
      </w:r>
      <w:proofErr w:type="spellEnd"/>
      <w:r>
        <w:rPr>
          <w:i/>
          <w:iCs/>
        </w:rPr>
        <w:t>: základy filosofie prožitku</w:t>
      </w:r>
      <w:r>
        <w:t>. Vyd. 1. Praha: Kreace, 2000. 75 s. ISBN 80-902125-3-0.</w:t>
      </w:r>
    </w:p>
    <w:p w:rsidR="001645FE" w:rsidRDefault="001645FE" w:rsidP="001645FE">
      <w:pPr>
        <w:jc w:val="left"/>
      </w:pPr>
      <w:r>
        <w:rPr>
          <w:caps/>
        </w:rPr>
        <w:t>Stark</w:t>
      </w:r>
      <w:r>
        <w:t xml:space="preserve">, Stanislav. </w:t>
      </w:r>
      <w:r>
        <w:rPr>
          <w:i/>
          <w:iCs/>
        </w:rPr>
        <w:t xml:space="preserve">Filosofie výchovy jako filosofie lidské aktivity a dialogu: se zaměřením na učení Hanse-Georga </w:t>
      </w:r>
      <w:proofErr w:type="spellStart"/>
      <w:r>
        <w:rPr>
          <w:i/>
          <w:iCs/>
        </w:rPr>
        <w:t>Gadamera</w:t>
      </w:r>
      <w:proofErr w:type="spellEnd"/>
      <w:r>
        <w:rPr>
          <w:i/>
          <w:iCs/>
        </w:rPr>
        <w:t xml:space="preserve"> a Otto Friedricha </w:t>
      </w:r>
      <w:proofErr w:type="spellStart"/>
      <w:r>
        <w:rPr>
          <w:i/>
          <w:iCs/>
        </w:rPr>
        <w:t>Bollnowa</w:t>
      </w:r>
      <w:proofErr w:type="spellEnd"/>
      <w:r>
        <w:t>. 1. vyd. Plzeň: Vydavatelství a nakladatelství Aleš Čeněk, 2006. 183 s. ISBN 80-7380-012-8.</w:t>
      </w:r>
    </w:p>
    <w:p w:rsidR="001645FE" w:rsidRDefault="001645FE" w:rsidP="001645FE">
      <w:pPr>
        <w:jc w:val="left"/>
      </w:pPr>
      <w:r>
        <w:rPr>
          <w:caps/>
        </w:rPr>
        <w:t>Skalková</w:t>
      </w:r>
      <w:r>
        <w:t xml:space="preserve">, Jarmila. </w:t>
      </w:r>
      <w:r>
        <w:rPr>
          <w:i/>
          <w:iCs/>
        </w:rPr>
        <w:t>Tradice hermeneutické pedagogiky a její vývoj v druhé polovině 20. století: k soudobým proudům pedagogického myšlení</w:t>
      </w:r>
      <w:r>
        <w:t>. [Praha: Pedagogický ústav J.A. Komenského ČSAV, 1992?]. 86 s. ISBN 80-901127-3-0.</w:t>
      </w:r>
    </w:p>
    <w:p w:rsidR="001645FE" w:rsidRDefault="001645FE" w:rsidP="001645FE">
      <w:pPr>
        <w:jc w:val="left"/>
      </w:pPr>
    </w:p>
    <w:p w:rsidR="001645FE" w:rsidRDefault="001645FE" w:rsidP="001645FE">
      <w:pPr>
        <w:jc w:val="left"/>
      </w:pPr>
      <w:r>
        <w:t>Pramenná literatura:</w:t>
      </w:r>
    </w:p>
    <w:p w:rsidR="001645FE" w:rsidRDefault="001645FE" w:rsidP="001645FE">
      <w:pPr>
        <w:jc w:val="left"/>
      </w:pPr>
      <w:r>
        <w:rPr>
          <w:caps/>
        </w:rPr>
        <w:lastRenderedPageBreak/>
        <w:t>Gadamer</w:t>
      </w:r>
      <w:r>
        <w:t xml:space="preserve">, Hans-Georg a </w:t>
      </w:r>
      <w:r>
        <w:rPr>
          <w:caps/>
        </w:rPr>
        <w:t>Sokol</w:t>
      </w:r>
      <w:r>
        <w:t xml:space="preserve">, Jan, </w:t>
      </w:r>
      <w:proofErr w:type="spellStart"/>
      <w:r>
        <w:t>ed</w:t>
      </w:r>
      <w:proofErr w:type="spellEnd"/>
      <w:r>
        <w:t xml:space="preserve">. </w:t>
      </w:r>
      <w:r>
        <w:rPr>
          <w:i/>
          <w:iCs/>
        </w:rPr>
        <w:t>Člověk a řeč: (výbor textů)</w:t>
      </w:r>
      <w:r>
        <w:t xml:space="preserve">. Překlad Jakub Čapek a Jan Sokol. Vyd. 1. Praha: OIKOYMENH, 1999. 154 s. </w:t>
      </w:r>
      <w:proofErr w:type="spellStart"/>
      <w:r>
        <w:t>Oikúmené</w:t>
      </w:r>
      <w:proofErr w:type="spellEnd"/>
      <w:r>
        <w:t>. ISBN 80-86005-76-3.</w:t>
      </w:r>
    </w:p>
    <w:p w:rsidR="001645FE" w:rsidRDefault="001645FE" w:rsidP="001645FE">
      <w:pPr>
        <w:jc w:val="left"/>
      </w:pPr>
      <w:r>
        <w:rPr>
          <w:caps/>
        </w:rPr>
        <w:t>Gadamer</w:t>
      </w:r>
      <w:r>
        <w:t xml:space="preserve">, Hans-Georg. </w:t>
      </w:r>
      <w:r>
        <w:rPr>
          <w:i/>
          <w:iCs/>
        </w:rPr>
        <w:t>Problém dějinného vědomí</w:t>
      </w:r>
      <w:r>
        <w:t xml:space="preserve">. Překlad Jiří Němec a Jan Sokol. Vyd. 1. Praha: </w:t>
      </w:r>
      <w:proofErr w:type="spellStart"/>
      <w:r>
        <w:t>Filosofia</w:t>
      </w:r>
      <w:proofErr w:type="spellEnd"/>
      <w:r>
        <w:t xml:space="preserve">, 1994. 53 s. </w:t>
      </w:r>
      <w:proofErr w:type="spellStart"/>
      <w:r>
        <w:t>Parva</w:t>
      </w:r>
      <w:proofErr w:type="spellEnd"/>
      <w:r>
        <w:t xml:space="preserve"> </w:t>
      </w:r>
      <w:proofErr w:type="spellStart"/>
      <w:r>
        <w:t>philosophica</w:t>
      </w:r>
      <w:proofErr w:type="spellEnd"/>
      <w:r>
        <w:t>; sv. 6. ISBN 80-7007-062-5.</w:t>
      </w:r>
    </w:p>
    <w:p w:rsidR="001645FE" w:rsidRDefault="001645FE" w:rsidP="001645FE">
      <w:pPr>
        <w:jc w:val="left"/>
      </w:pPr>
      <w:r>
        <w:rPr>
          <w:caps/>
        </w:rPr>
        <w:t>Gadamer</w:t>
      </w:r>
      <w:r>
        <w:t xml:space="preserve">, Hans-Georg. </w:t>
      </w:r>
      <w:r>
        <w:rPr>
          <w:i/>
          <w:iCs/>
        </w:rPr>
        <w:t>Pravda a metoda I: nárys filosofické hermeneutiky</w:t>
      </w:r>
      <w:r>
        <w:t>. Překlad David Mik. Vyd. 1. Praha: Triáda, 2010. 415 s. Paprsek; sv. 18. ISBN 978-80-87256-04-6.</w:t>
      </w:r>
    </w:p>
    <w:p w:rsidR="00B33D17" w:rsidRDefault="00B33D17"/>
    <w:sectPr w:rsidR="00B33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5E6237"/>
    <w:multiLevelType w:val="hybridMultilevel"/>
    <w:tmpl w:val="F1585F18"/>
    <w:lvl w:ilvl="0" w:tplc="26CA599A">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FE"/>
    <w:rsid w:val="001645FE"/>
    <w:rsid w:val="00262640"/>
    <w:rsid w:val="00B33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4B92E-67D6-4002-8B93-DB1F3A33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645F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64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6062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axlina@seznam.cz</cp:lastModifiedBy>
  <cp:revision>2</cp:revision>
  <dcterms:created xsi:type="dcterms:W3CDTF">2018-05-17T08:56:00Z</dcterms:created>
  <dcterms:modified xsi:type="dcterms:W3CDTF">2018-05-17T08:56:00Z</dcterms:modified>
</cp:coreProperties>
</file>