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B224" w14:textId="1FA8FE7C" w:rsidR="002C4707" w:rsidRDefault="00C76818" w:rsidP="00297227">
      <w:pPr>
        <w:pStyle w:val="nadpis"/>
      </w:pPr>
      <w:bookmarkStart w:id="0" w:name="_GoBack"/>
      <w:bookmarkEnd w:id="0"/>
      <w:r>
        <w:t>Sociální systémy III: „</w:t>
      </w:r>
      <w:r w:rsidR="00E0655E">
        <w:t>Raději spor než konsenzus</w:t>
      </w:r>
      <w:r>
        <w:t>“</w:t>
      </w:r>
    </w:p>
    <w:p w14:paraId="0ACF6567" w14:textId="77777777" w:rsidR="00297227" w:rsidRDefault="00297227" w:rsidP="00297227">
      <w:pPr>
        <w:pStyle w:val="nadpis"/>
      </w:pPr>
    </w:p>
    <w:p w14:paraId="65E64DB4" w14:textId="1DD4054B" w:rsidR="00EB7277" w:rsidRDefault="002C4707" w:rsidP="002C4707">
      <w:r>
        <w:t>„Konflikty jsou speciálními sociálními systémy, které jsou vytvořeny podle vzorce dvojité kontingence.“</w:t>
      </w:r>
    </w:p>
    <w:p w14:paraId="789B2CF5" w14:textId="7E8544C7" w:rsidR="00297227" w:rsidRDefault="002C4707" w:rsidP="00C35751">
      <w:pPr>
        <w:pStyle w:val="Nadpis1"/>
      </w:pPr>
      <w:r>
        <w:t>Definice konfliktu</w:t>
      </w:r>
    </w:p>
    <w:p w14:paraId="40E9DEB5" w14:textId="4C1E2788" w:rsidR="00C35751" w:rsidRDefault="00C35751" w:rsidP="00C76818">
      <w:r>
        <w:t>„Konflikt je operativním osamostatněním rozporu prostřednictvím komunikace</w:t>
      </w:r>
      <w:r w:rsidR="002E16E4">
        <w:t>.</w:t>
      </w:r>
      <w:r>
        <w:t>“</w:t>
      </w:r>
    </w:p>
    <w:p w14:paraId="3BDBF296" w14:textId="2AEB13B0" w:rsidR="00C35751" w:rsidRPr="00C35751" w:rsidRDefault="00C35751" w:rsidP="00C76818">
      <w:r>
        <w:t xml:space="preserve">Konflikt není selháním komunikace, nýbrž slouží k jejímu pokračování </w:t>
      </w:r>
      <w:r w:rsidR="00C76818">
        <w:t xml:space="preserve">a činí tak </w:t>
      </w:r>
      <w:r>
        <w:t>pomocí komunikovaného „NE“.</w:t>
      </w:r>
    </w:p>
    <w:p w14:paraId="7DDBBCCC" w14:textId="74C82273" w:rsidR="00297227" w:rsidRDefault="00297227" w:rsidP="00C76818">
      <w:r>
        <w:t xml:space="preserve">Aby vznikl konflikt, je potřeba dvou </w:t>
      </w:r>
      <w:r w:rsidR="00C35751">
        <w:t xml:space="preserve">vzájemně si </w:t>
      </w:r>
      <w:r>
        <w:t>odporujících komunikací</w:t>
      </w:r>
    </w:p>
    <w:p w14:paraId="6A51D6A8" w14:textId="175F1431" w:rsidR="00C35751" w:rsidRDefault="00C35751" w:rsidP="00C76818">
      <w:r>
        <w:t xml:space="preserve">Každé zeslabení nebo odmítnutí </w:t>
      </w:r>
      <w:r w:rsidRPr="00C35751">
        <w:rPr>
          <w:i/>
        </w:rPr>
        <w:t>očekávání</w:t>
      </w:r>
      <w:r>
        <w:t xml:space="preserve">, každé komunikované „NE“ spadá do kategorie konfliktu. </w:t>
      </w:r>
    </w:p>
    <w:p w14:paraId="359659B1" w14:textId="77777777" w:rsidR="00C76818" w:rsidRPr="00297227" w:rsidRDefault="00C76818" w:rsidP="00C76818">
      <w:pPr>
        <w:spacing w:after="0"/>
      </w:pPr>
    </w:p>
    <w:p w14:paraId="346D8290" w14:textId="30CF770F" w:rsidR="00E355BA" w:rsidRDefault="00E355BA">
      <w:pPr>
        <w:rPr>
          <w:b/>
        </w:rPr>
      </w:pPr>
      <w:r w:rsidRPr="00297227">
        <w:rPr>
          <w:b/>
        </w:rPr>
        <w:t>Konflikt jako sociální systém speciálního druhu</w:t>
      </w:r>
    </w:p>
    <w:p w14:paraId="72549619" w14:textId="66A5135F" w:rsidR="00C35751" w:rsidRDefault="00C35751">
      <w:r>
        <w:t xml:space="preserve">Konflikty jsou </w:t>
      </w:r>
      <w:r w:rsidR="00E0655E">
        <w:t xml:space="preserve">sociálními systémy, které jsou </w:t>
      </w:r>
      <w:r>
        <w:t xml:space="preserve">tvořeny prostřednictvím podnětů </w:t>
      </w:r>
      <w:r w:rsidR="00E0655E">
        <w:t xml:space="preserve">v jiných systémech. </w:t>
      </w:r>
    </w:p>
    <w:p w14:paraId="0E9CB4D8" w14:textId="406465E0" w:rsidR="00E0655E" w:rsidRDefault="00E0655E">
      <w:r>
        <w:t xml:space="preserve">Konflikty jakožto sociální systém existují </w:t>
      </w:r>
      <w:r w:rsidRPr="00E0655E">
        <w:rPr>
          <w:i/>
        </w:rPr>
        <w:t>paraziticky</w:t>
      </w:r>
      <w:r>
        <w:t>.</w:t>
      </w:r>
    </w:p>
    <w:p w14:paraId="221752B8" w14:textId="37ACF4BE" w:rsidR="00C35751" w:rsidRPr="00E0655E" w:rsidRDefault="00C35751">
      <w:r>
        <w:t xml:space="preserve">Podnětem a katalyzátorem konfliktů je </w:t>
      </w:r>
      <w:r w:rsidRPr="00C35751">
        <w:rPr>
          <w:i/>
        </w:rPr>
        <w:t>negativní verze dvojité kontingence</w:t>
      </w:r>
      <w:r>
        <w:rPr>
          <w:i/>
        </w:rPr>
        <w:t>.</w:t>
      </w:r>
      <w:r w:rsidR="00E0655E">
        <w:t xml:space="preserve"> </w:t>
      </w:r>
    </w:p>
    <w:p w14:paraId="4FB6CB4E" w14:textId="3E67408D" w:rsidR="00C35751" w:rsidRPr="00C35751" w:rsidRDefault="00C35751">
      <w:r>
        <w:t>Destruktivní síla konfliktu spočívá ve vztahu k systému, v němž konflikt nalezl podnět a východisko</w:t>
      </w:r>
      <w:r w:rsidR="00E0655E">
        <w:t xml:space="preserve">. Nepřátelství se stává motivem k jednání. </w:t>
      </w:r>
    </w:p>
    <w:p w14:paraId="4C7D8167" w14:textId="06FD0D55" w:rsidR="00E355BA" w:rsidRDefault="00FE2B06" w:rsidP="00EB7277">
      <w:pPr>
        <w:pStyle w:val="Nadpis1"/>
      </w:pPr>
      <w:r>
        <w:t xml:space="preserve">Konflikty a jejich „velká společenská kariéra“ </w:t>
      </w:r>
    </w:p>
    <w:p w14:paraId="34F51F9D" w14:textId="6E4815E5" w:rsidR="00EB7277" w:rsidRDefault="00A44A1F" w:rsidP="00EB7277">
      <w:r>
        <w:t>Pokud konflikty podléhají přirozené tendenci k entropii, co některé z nich predestinuje k „velké společenské kariéře“ a proč k tomu dochází?</w:t>
      </w:r>
    </w:p>
    <w:p w14:paraId="1FBB4C59" w14:textId="23B39B28" w:rsidR="00A44A1F" w:rsidRDefault="00A44A1F" w:rsidP="00EB7277">
      <w:r>
        <w:t xml:space="preserve">Rozdíl mezi interakcí a společností: </w:t>
      </w:r>
    </w:p>
    <w:p w14:paraId="3C541430" w14:textId="75EC6791" w:rsidR="00A44A1F" w:rsidRDefault="00A44A1F" w:rsidP="00A44A1F">
      <w:pPr>
        <w:pStyle w:val="Odstavecseseznamem"/>
        <w:numPr>
          <w:ilvl w:val="0"/>
          <w:numId w:val="4"/>
        </w:numPr>
      </w:pPr>
      <w:r>
        <w:t>Interakce = sociální systém, který vzniká mezi přítomnými</w:t>
      </w:r>
    </w:p>
    <w:p w14:paraId="464273AF" w14:textId="2CD24585" w:rsidR="00A44A1F" w:rsidRDefault="00A44A1F" w:rsidP="00A44A1F">
      <w:pPr>
        <w:pStyle w:val="Odstavecseseznamem"/>
        <w:numPr>
          <w:ilvl w:val="0"/>
          <w:numId w:val="4"/>
        </w:numPr>
      </w:pPr>
      <w:r>
        <w:t>Společnost = souhrn všech očekávatelných společenských komunikací</w:t>
      </w:r>
    </w:p>
    <w:p w14:paraId="68C65557" w14:textId="255C82E2" w:rsidR="00A44A1F" w:rsidRPr="00A44A1F" w:rsidRDefault="00297227" w:rsidP="00A44A1F">
      <w:pPr>
        <w:pStyle w:val="Nadpis1"/>
        <w:rPr>
          <w:b w:val="0"/>
        </w:rPr>
      </w:pPr>
      <w:bookmarkStart w:id="1" w:name="_Hlk511253072"/>
      <w:r>
        <w:rPr>
          <w:b w:val="0"/>
        </w:rPr>
        <w:t xml:space="preserve">Konektivita interního konfliktu na sociální vztahy činí společenský konflikt důležitým i mimo interakční systém. </w:t>
      </w:r>
    </w:p>
    <w:p w14:paraId="4F812D0D" w14:textId="682029C2" w:rsidR="00EB7277" w:rsidRPr="00EB7277" w:rsidRDefault="004E0E2E" w:rsidP="00EB7277">
      <w:pPr>
        <w:pStyle w:val="Nadpis1"/>
      </w:pPr>
      <w:r>
        <w:t>Podmínění konfliktů jako prostředek udržování imunitního systému společnosti</w:t>
      </w:r>
    </w:p>
    <w:p w14:paraId="5734C8C5" w14:textId="351916CA" w:rsidR="004E0E2E" w:rsidRDefault="004E0E2E" w:rsidP="00FE2B06">
      <w:r>
        <w:t>Podmínění = stanovení podmínek, za nichž jsou vytvářeny, resp. nevytvářeny, souvislosti mezi prvky</w:t>
      </w:r>
      <w:r w:rsidR="00AE1813">
        <w:t>.</w:t>
      </w:r>
    </w:p>
    <w:p w14:paraId="6008305A" w14:textId="0E8C1407" w:rsidR="00FE2B06" w:rsidRDefault="00FE2B06">
      <w:r>
        <w:t xml:space="preserve">Výchozí body – teze systémové teorie: </w:t>
      </w:r>
    </w:p>
    <w:p w14:paraId="4AAA2E23" w14:textId="12591AAD" w:rsidR="00FE2B06" w:rsidRDefault="00FE2B06" w:rsidP="00FE2B06">
      <w:pPr>
        <w:pStyle w:val="Odstavecseseznamem"/>
        <w:numPr>
          <w:ilvl w:val="0"/>
          <w:numId w:val="2"/>
        </w:numPr>
      </w:pPr>
      <w:r>
        <w:t>Imunitní události jako komunikované odmítnutí</w:t>
      </w:r>
      <w:r w:rsidR="00C76818">
        <w:t>.</w:t>
      </w:r>
    </w:p>
    <w:p w14:paraId="2BF925FA" w14:textId="7F61214E" w:rsidR="00FE2B06" w:rsidRDefault="00FE2B06" w:rsidP="00FE2B06">
      <w:pPr>
        <w:pStyle w:val="Odstavecseseznamem"/>
        <w:numPr>
          <w:ilvl w:val="0"/>
          <w:numId w:val="2"/>
        </w:numPr>
      </w:pPr>
      <w:r>
        <w:t>Tvorba systémové komplexity se děje prostřednictvím podmínění</w:t>
      </w:r>
      <w:r w:rsidR="00C76818">
        <w:t>.</w:t>
      </w:r>
    </w:p>
    <w:p w14:paraId="30A0C7B3" w14:textId="4C47B1F5" w:rsidR="00FE2B06" w:rsidRDefault="00FE2B06" w:rsidP="00FE2B06">
      <w:pPr>
        <w:pStyle w:val="Odstavecseseznamem"/>
        <w:numPr>
          <w:ilvl w:val="0"/>
          <w:numId w:val="2"/>
        </w:numPr>
      </w:pPr>
      <w:r>
        <w:t>Konflikty jsou operacionalizované rozpory, které se staly komunikací</w:t>
      </w:r>
      <w:r w:rsidR="00C76818">
        <w:t>.</w:t>
      </w:r>
    </w:p>
    <w:p w14:paraId="3E065189" w14:textId="7582F152" w:rsidR="00FE2B06" w:rsidRDefault="00FE2B06" w:rsidP="00FE2B06">
      <w:pPr>
        <w:pStyle w:val="Odstavecseseznamem"/>
        <w:numPr>
          <w:ilvl w:val="0"/>
          <w:numId w:val="2"/>
        </w:numPr>
      </w:pPr>
      <w:r>
        <w:t>Konflikty umožňují podmínění imunitních událostí</w:t>
      </w:r>
      <w:r w:rsidR="00C76818">
        <w:t>.</w:t>
      </w:r>
    </w:p>
    <w:p w14:paraId="7A70FB25" w14:textId="7308BF30" w:rsidR="00FE2B06" w:rsidRDefault="00FE2B06" w:rsidP="00FE2B06">
      <w:pPr>
        <w:pStyle w:val="Odstavecseseznamem"/>
        <w:numPr>
          <w:ilvl w:val="0"/>
          <w:numId w:val="2"/>
        </w:numPr>
      </w:pPr>
      <w:r>
        <w:t xml:space="preserve">Konflikty jsou </w:t>
      </w:r>
      <w:proofErr w:type="spellStart"/>
      <w:r>
        <w:t>a</w:t>
      </w:r>
      <w:r w:rsidR="00C76818">
        <w:t>u</w:t>
      </w:r>
      <w:r>
        <w:t>topoietické</w:t>
      </w:r>
      <w:proofErr w:type="spellEnd"/>
      <w:r w:rsidR="00C76818">
        <w:t>.</w:t>
      </w:r>
      <w:r>
        <w:t xml:space="preserve"> </w:t>
      </w:r>
    </w:p>
    <w:p w14:paraId="706092A3" w14:textId="319B8548" w:rsidR="004E0E2E" w:rsidRDefault="004E0E2E" w:rsidP="00FE2B06">
      <w:pPr>
        <w:pStyle w:val="Odstavecseseznamem"/>
        <w:numPr>
          <w:ilvl w:val="0"/>
          <w:numId w:val="2"/>
        </w:numPr>
      </w:pPr>
      <w:r>
        <w:t>Ukončení konfliktů může vyplynout pouze z prostředí systému</w:t>
      </w:r>
      <w:r w:rsidR="00C76818">
        <w:t>.</w:t>
      </w:r>
    </w:p>
    <w:p w14:paraId="3B2112F0" w14:textId="3654E3EA" w:rsidR="004E0E2E" w:rsidRDefault="004E0E2E" w:rsidP="004E0E2E">
      <w:r>
        <w:t>Klíčem k problému jsou podmínky, které umožňují reprodukci konfliktů</w:t>
      </w:r>
      <w:r w:rsidR="00C76818">
        <w:t>.</w:t>
      </w:r>
    </w:p>
    <w:bookmarkEnd w:id="1"/>
    <w:p w14:paraId="4ED73019" w14:textId="71B849CB" w:rsidR="004E0E2E" w:rsidRDefault="009F041E" w:rsidP="004E0E2E">
      <w:r>
        <w:t>Systematizace imunitních událostí je možná pouze jako společenská agregace mnoha konfliktů</w:t>
      </w:r>
      <w:r w:rsidR="00C76818">
        <w:t>.</w:t>
      </w:r>
    </w:p>
    <w:p w14:paraId="5A60421C" w14:textId="4A8BB937" w:rsidR="009F041E" w:rsidRDefault="009F041E" w:rsidP="009F041E">
      <w:r>
        <w:lastRenderedPageBreak/>
        <w:t>Formy podmínění konfliktů</w:t>
      </w:r>
      <w:r w:rsidR="00EB7277">
        <w:t>:</w:t>
      </w:r>
    </w:p>
    <w:p w14:paraId="4CD59386" w14:textId="0181FB4C" w:rsidR="009F041E" w:rsidRDefault="009F041E" w:rsidP="009F041E">
      <w:pPr>
        <w:pStyle w:val="Odstavecseseznamem"/>
        <w:numPr>
          <w:ilvl w:val="0"/>
          <w:numId w:val="3"/>
        </w:numPr>
      </w:pPr>
      <w:r>
        <w:t xml:space="preserve">Omezení prostředků (zakázání určitých prostředků) – je motivováno záměrem zabránit škodám, ale také zdokonaluje, </w:t>
      </w:r>
      <w:proofErr w:type="spellStart"/>
      <w:r>
        <w:t>komplexuje</w:t>
      </w:r>
      <w:proofErr w:type="spellEnd"/>
      <w:r>
        <w:t xml:space="preserve"> konfliktní systémy a činí je trvalými</w:t>
      </w:r>
      <w:r w:rsidR="002F13EA">
        <w:t>.</w:t>
      </w:r>
    </w:p>
    <w:p w14:paraId="0A040593" w14:textId="03C82963" w:rsidR="009F041E" w:rsidRDefault="009F041E" w:rsidP="009F041E">
      <w:pPr>
        <w:pStyle w:val="Odstavecseseznamem"/>
        <w:numPr>
          <w:ilvl w:val="0"/>
          <w:numId w:val="3"/>
        </w:numPr>
      </w:pPr>
      <w:r>
        <w:t>Zvýšení nejistoty v systému prostřednictvím zahrnutí třetích do konfliktního systému</w:t>
      </w:r>
      <w:r w:rsidR="00EB7277">
        <w:t>. Toto zahrnutí třetího je nejdůležitější forma regulace konfliktu.</w:t>
      </w:r>
    </w:p>
    <w:p w14:paraId="74CBE322" w14:textId="7D91D41F" w:rsidR="009F041E" w:rsidRDefault="00EB7277" w:rsidP="009F041E">
      <w:r>
        <w:t>Tyto možnosti jsou obě způsobem, jak postavit konflikt pod dodatečné podmínění, díky kterému je prvotní vyřčení „NE“ sna</w:t>
      </w:r>
      <w:r w:rsidR="002F13EA">
        <w:t>z</w:t>
      </w:r>
      <w:r>
        <w:t>ší.</w:t>
      </w:r>
    </w:p>
    <w:p w14:paraId="5DAB214E" w14:textId="18F5092F" w:rsidR="00EB7277" w:rsidRDefault="00EB7277" w:rsidP="009F041E">
      <w:r>
        <w:t xml:space="preserve">Čím vyšší komplexita společenského systému, tím větší možnost komunikovat rozpory. </w:t>
      </w:r>
    </w:p>
    <w:p w14:paraId="0B6E04AD" w14:textId="4572DC4D" w:rsidR="00EB7277" w:rsidRDefault="00EB7277" w:rsidP="009F041E">
      <w:r>
        <w:t>Snížení konfliktního prahu pomocí dodatečné</w:t>
      </w:r>
      <w:r w:rsidR="00C76818">
        <w:t>ho</w:t>
      </w:r>
      <w:r>
        <w:t xml:space="preserve"> podmínění konfliktů prospívá imunitnímu systému společnosti.</w:t>
      </w:r>
    </w:p>
    <w:sectPr w:rsidR="00EB72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005D" w14:textId="77777777" w:rsidR="00F32BE1" w:rsidRDefault="00F32BE1" w:rsidP="002C4707">
      <w:pPr>
        <w:spacing w:after="0"/>
      </w:pPr>
      <w:r>
        <w:separator/>
      </w:r>
    </w:p>
  </w:endnote>
  <w:endnote w:type="continuationSeparator" w:id="0">
    <w:p w14:paraId="5A145880" w14:textId="77777777" w:rsidR="00F32BE1" w:rsidRDefault="00F32BE1" w:rsidP="002C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48A46" w14:textId="77777777" w:rsidR="00F32BE1" w:rsidRDefault="00F32BE1" w:rsidP="002C4707">
      <w:pPr>
        <w:spacing w:after="0"/>
      </w:pPr>
      <w:r>
        <w:separator/>
      </w:r>
    </w:p>
  </w:footnote>
  <w:footnote w:type="continuationSeparator" w:id="0">
    <w:p w14:paraId="2623A351" w14:textId="77777777" w:rsidR="00F32BE1" w:rsidRDefault="00F32BE1" w:rsidP="002C47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99BE" w14:textId="6859F973" w:rsidR="002C4707" w:rsidRDefault="002C4707" w:rsidP="002C4707">
    <w:pPr>
      <w:pStyle w:val="Zhlav"/>
      <w:jc w:val="right"/>
    </w:pPr>
    <w:r>
      <w:t>Helena Hájková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56E4"/>
    <w:multiLevelType w:val="hybridMultilevel"/>
    <w:tmpl w:val="D6D2E59C"/>
    <w:lvl w:ilvl="0" w:tplc="9BF8E4E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135"/>
    <w:multiLevelType w:val="hybridMultilevel"/>
    <w:tmpl w:val="CD3AD852"/>
    <w:lvl w:ilvl="0" w:tplc="54E2C9F2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715"/>
    <w:multiLevelType w:val="hybridMultilevel"/>
    <w:tmpl w:val="BDF4E2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1B1"/>
    <w:multiLevelType w:val="hybridMultilevel"/>
    <w:tmpl w:val="383E0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2C06"/>
    <w:multiLevelType w:val="hybridMultilevel"/>
    <w:tmpl w:val="672694DC"/>
    <w:lvl w:ilvl="0" w:tplc="D6F054A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F"/>
    <w:rsid w:val="000277C1"/>
    <w:rsid w:val="00297227"/>
    <w:rsid w:val="002C4707"/>
    <w:rsid w:val="002E16E4"/>
    <w:rsid w:val="002F13EA"/>
    <w:rsid w:val="0033448F"/>
    <w:rsid w:val="004E0E2E"/>
    <w:rsid w:val="004F425B"/>
    <w:rsid w:val="005A76AB"/>
    <w:rsid w:val="009F041E"/>
    <w:rsid w:val="00A44A1F"/>
    <w:rsid w:val="00AE1813"/>
    <w:rsid w:val="00C263D7"/>
    <w:rsid w:val="00C35751"/>
    <w:rsid w:val="00C76818"/>
    <w:rsid w:val="00D52773"/>
    <w:rsid w:val="00E0655E"/>
    <w:rsid w:val="00E355BA"/>
    <w:rsid w:val="00EB7277"/>
    <w:rsid w:val="00F32BE1"/>
    <w:rsid w:val="00F861B7"/>
    <w:rsid w:val="00FB6889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2AE"/>
  <w15:chartTrackingRefBased/>
  <w15:docId w15:val="{56281C3D-C58D-4124-9592-31CBF77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818"/>
    <w:pPr>
      <w:spacing w:after="120" w:line="240" w:lineRule="auto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76818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ek">
    <w:name w:val="Podnadpisek"/>
    <w:basedOn w:val="Normln"/>
    <w:link w:val="PodnadpisekChar"/>
    <w:autoRedefine/>
    <w:qFormat/>
    <w:rsid w:val="00D52773"/>
    <w:pPr>
      <w:pBdr>
        <w:top w:val="nil"/>
        <w:left w:val="nil"/>
        <w:bottom w:val="nil"/>
        <w:right w:val="nil"/>
        <w:between w:val="nil"/>
      </w:pBdr>
      <w:spacing w:after="0"/>
      <w:jc w:val="both"/>
    </w:pPr>
    <w:rPr>
      <w:smallCaps/>
      <w:sz w:val="28"/>
    </w:rPr>
  </w:style>
  <w:style w:type="character" w:customStyle="1" w:styleId="PodnadpisekChar">
    <w:name w:val="Podnadpisek Char"/>
    <w:basedOn w:val="Standardnpsmoodstavce"/>
    <w:link w:val="Podnadpisek"/>
    <w:rsid w:val="00D52773"/>
    <w:rPr>
      <w:smallCaps/>
      <w:sz w:val="28"/>
    </w:rPr>
  </w:style>
  <w:style w:type="paragraph" w:customStyle="1" w:styleId="nadpis">
    <w:name w:val="nadpis"/>
    <w:basedOn w:val="Normln"/>
    <w:link w:val="nadpisChar"/>
    <w:autoRedefine/>
    <w:qFormat/>
    <w:rsid w:val="00C76818"/>
    <w:pPr>
      <w:pBdr>
        <w:top w:val="nil"/>
        <w:left w:val="nil"/>
        <w:bottom w:val="nil"/>
        <w:right w:val="nil"/>
        <w:between w:val="nil"/>
      </w:pBdr>
      <w:spacing w:after="0"/>
      <w:jc w:val="center"/>
    </w:pPr>
    <w:rPr>
      <w:smallCaps/>
      <w:sz w:val="32"/>
    </w:rPr>
  </w:style>
  <w:style w:type="character" w:customStyle="1" w:styleId="nadpisChar">
    <w:name w:val="nadpis Char"/>
    <w:basedOn w:val="Standardnpsmoodstavce"/>
    <w:link w:val="nadpis"/>
    <w:rsid w:val="00C76818"/>
    <w:rPr>
      <w:rFonts w:ascii="Garamond" w:hAnsi="Garamond"/>
      <w:smallCaps/>
      <w:sz w:val="32"/>
    </w:rPr>
  </w:style>
  <w:style w:type="paragraph" w:styleId="Zhlav">
    <w:name w:val="header"/>
    <w:basedOn w:val="Normln"/>
    <w:link w:val="ZhlavChar"/>
    <w:uiPriority w:val="99"/>
    <w:unhideWhenUsed/>
    <w:rsid w:val="002C470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C4707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2C470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C4707"/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FE2B0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76818"/>
    <w:rPr>
      <w:rFonts w:ascii="Garamond" w:eastAsiaTheme="majorEastAsia" w:hAnsi="Garamond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Matějčková, Tereza</cp:lastModifiedBy>
  <cp:revision>2</cp:revision>
  <dcterms:created xsi:type="dcterms:W3CDTF">2018-04-14T08:17:00Z</dcterms:created>
  <dcterms:modified xsi:type="dcterms:W3CDTF">2018-04-14T08:17:00Z</dcterms:modified>
</cp:coreProperties>
</file>