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06" w:rsidRDefault="00064D06" w:rsidP="00064D06">
      <w:pPr>
        <w:spacing w:line="360" w:lineRule="auto"/>
        <w:rPr>
          <w:rFonts w:cstheme="minorHAnsi"/>
          <w:b/>
          <w:bCs/>
          <w:sz w:val="28"/>
          <w:szCs w:val="28"/>
        </w:rPr>
      </w:pPr>
      <w:r w:rsidRPr="00CB6F68">
        <w:rPr>
          <w:rFonts w:cstheme="minorHAnsi"/>
          <w:b/>
          <w:bCs/>
          <w:sz w:val="28"/>
          <w:szCs w:val="28"/>
        </w:rPr>
        <w:t xml:space="preserve">Mýtus o exodu </w:t>
      </w:r>
    </w:p>
    <w:p w:rsidR="00064D06" w:rsidRDefault="00064D06" w:rsidP="00064D06">
      <w:pPr>
        <w:spacing w:line="360" w:lineRule="auto"/>
        <w:rPr>
          <w:rFonts w:cstheme="minorHAnsi"/>
          <w:sz w:val="28"/>
          <w:szCs w:val="28"/>
        </w:rPr>
      </w:pPr>
      <w:r w:rsidRPr="00CB6F68">
        <w:rPr>
          <w:rFonts w:cstheme="minorHAnsi"/>
          <w:sz w:val="28"/>
          <w:szCs w:val="28"/>
        </w:rPr>
        <w:t>Vyjití z</w:t>
      </w:r>
      <w:r>
        <w:rPr>
          <w:rFonts w:cstheme="minorHAnsi"/>
          <w:sz w:val="28"/>
          <w:szCs w:val="28"/>
        </w:rPr>
        <w:t> </w:t>
      </w:r>
      <w:r w:rsidRPr="00CB6F68">
        <w:rPr>
          <w:rFonts w:cstheme="minorHAnsi"/>
          <w:sz w:val="28"/>
          <w:szCs w:val="28"/>
        </w:rPr>
        <w:t>Egypta</w:t>
      </w:r>
      <w:r>
        <w:rPr>
          <w:rFonts w:cstheme="minorHAnsi"/>
          <w:sz w:val="28"/>
          <w:szCs w:val="28"/>
        </w:rPr>
        <w:t xml:space="preserve">, podané ve Starém zákoně představuje podle jednoho - dnes aktuálního konceptu bádání v rámci „memory studies“ jedinečný příklad </w:t>
      </w:r>
      <w:r>
        <w:rPr>
          <w:rFonts w:cstheme="minorHAnsi"/>
          <w:b/>
          <w:bCs/>
          <w:i/>
          <w:iCs/>
          <w:sz w:val="28"/>
          <w:szCs w:val="28"/>
        </w:rPr>
        <w:t>kulturní</w:t>
      </w:r>
      <w:r w:rsidRPr="00CB6F68">
        <w:rPr>
          <w:rFonts w:cstheme="minorHAnsi"/>
          <w:b/>
          <w:bCs/>
          <w:i/>
          <w:iCs/>
          <w:sz w:val="28"/>
          <w:szCs w:val="28"/>
        </w:rPr>
        <w:t xml:space="preserve"> paměti</w:t>
      </w:r>
      <w:r>
        <w:rPr>
          <w:rFonts w:cstheme="minorHAnsi"/>
          <w:sz w:val="28"/>
          <w:szCs w:val="28"/>
        </w:rPr>
        <w:t>.</w:t>
      </w:r>
      <w:r>
        <w:rPr>
          <w:rStyle w:val="Znakapoznpodarou"/>
          <w:rFonts w:cstheme="minorHAnsi"/>
          <w:sz w:val="28"/>
          <w:szCs w:val="28"/>
        </w:rPr>
        <w:footnoteReference w:id="1"/>
      </w:r>
      <w:r>
        <w:rPr>
          <w:rFonts w:cstheme="minorHAnsi"/>
          <w:sz w:val="28"/>
          <w:szCs w:val="28"/>
        </w:rPr>
        <w:t xml:space="preserve"> Exodus je mýtické vyprávění o počátcích, zakládající rituály a teologii Hebrejské Bible. Badatelé často hovoří o tom, že narativ exodu se vytvářel v rámci historie skupinové paměti, která není protikladem historie, nýbrž jejím určitým výsekem. </w:t>
      </w:r>
    </w:p>
    <w:p w:rsidR="00064D06" w:rsidRDefault="00064D06" w:rsidP="00064D06">
      <w:p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 paměti starověkého Izraele figuroval Egypt a egyptský farao jako utlačitelé izraelského lidu, který při svém zrodu prodléval v otrockých pozicích. Někteří neváhají označit exodus jako příběh osvobození z otroctví</w:t>
      </w:r>
      <w:r>
        <w:rPr>
          <w:rStyle w:val="Znakapoznpodarou"/>
          <w:rFonts w:cstheme="minorHAnsi"/>
          <w:sz w:val="28"/>
          <w:szCs w:val="28"/>
        </w:rPr>
        <w:footnoteReference w:id="2"/>
      </w:r>
      <w:r>
        <w:rPr>
          <w:rFonts w:cstheme="minorHAnsi"/>
          <w:sz w:val="28"/>
          <w:szCs w:val="28"/>
        </w:rPr>
        <w:t xml:space="preserve">, spojený s typologickou osvoboditelskou a hrdinskou postavou Mojžíšem. </w:t>
      </w:r>
    </w:p>
    <w:p w:rsidR="00064D06" w:rsidRDefault="00064D06" w:rsidP="00064D06">
      <w:pPr>
        <w:spacing w:line="360" w:lineRule="auto"/>
        <w:rPr>
          <w:rFonts w:cstheme="minorHAnsi"/>
          <w:b/>
          <w:bCs/>
          <w:sz w:val="28"/>
          <w:szCs w:val="28"/>
          <w:rtl/>
        </w:rPr>
      </w:pPr>
      <w:r w:rsidRPr="002A6C3F">
        <w:rPr>
          <w:rFonts w:cstheme="minorHAnsi"/>
          <w:b/>
          <w:bCs/>
          <w:sz w:val="28"/>
          <w:szCs w:val="28"/>
        </w:rPr>
        <w:t>Ex 3</w:t>
      </w:r>
    </w:p>
    <w:p w:rsidR="00064D06" w:rsidRDefault="00064D06" w:rsidP="00064D06">
      <w:pPr>
        <w:spacing w:line="360" w:lineRule="auto"/>
        <w:rPr>
          <w:rFonts w:cstheme="minorHAnsi"/>
          <w:b/>
          <w:bCs/>
          <w:sz w:val="28"/>
          <w:szCs w:val="28"/>
        </w:rPr>
      </w:pPr>
    </w:p>
    <w:p w:rsidR="00064D06" w:rsidRDefault="00064D06" w:rsidP="00064D06">
      <w:pPr>
        <w:pStyle w:val="Normlnweb"/>
        <w:rPr>
          <w:rStyle w:val="hebrew"/>
          <w:rtl/>
        </w:rPr>
      </w:pPr>
      <w:r>
        <w:rPr>
          <w:rStyle w:val="verse"/>
        </w:rPr>
        <w:t>14</w:t>
      </w:r>
      <w:r>
        <w:rPr>
          <w:rStyle w:val="hebrew"/>
          <w:rtl/>
        </w:rPr>
        <w:t xml:space="preserve">וַיֹּ֤אמֶר אֱלֹהִים֙ אֶל־מֹשֶׁ֔ה </w:t>
      </w:r>
      <w:r w:rsidRPr="00F4323E">
        <w:rPr>
          <w:rStyle w:val="hebrew"/>
          <w:highlight w:val="green"/>
          <w:rtl/>
        </w:rPr>
        <w:t>אֶֽהְיֶ֖ה אֲשֶׁ֣ר אֶֽהְיֶ֑ה</w:t>
      </w:r>
      <w:r>
        <w:rPr>
          <w:rStyle w:val="hebrew"/>
          <w:rtl/>
        </w:rPr>
        <w:t xml:space="preserve"> וַיֹּ֗אמֶר כֹּ֤ה תֹאמַר֙ לִבְנֵ֣י יִשְׂרָאֵ֔ל </w:t>
      </w:r>
      <w:r w:rsidRPr="00F4323E">
        <w:rPr>
          <w:rStyle w:val="hebrew"/>
          <w:highlight w:val="green"/>
          <w:rtl/>
        </w:rPr>
        <w:t>אֶֽהְיֶ֖ה שְׁלָחַ֥נִי</w:t>
      </w:r>
      <w:r>
        <w:rPr>
          <w:rStyle w:val="hebrew"/>
          <w:rtl/>
        </w:rPr>
        <w:t xml:space="preserve"> אֲלֵיכֶֽם׃</w:t>
      </w:r>
    </w:p>
    <w:p w:rsidR="00064D06" w:rsidRDefault="00064D06" w:rsidP="00064D06">
      <w:pPr>
        <w:pStyle w:val="Normlnweb"/>
        <w:tabs>
          <w:tab w:val="left" w:pos="7450"/>
        </w:tabs>
        <w:jc w:val="both"/>
      </w:pPr>
      <w:r>
        <w:rPr>
          <w:rStyle w:val="hebrew"/>
          <w:rFonts w:hint="cs"/>
          <w:rtl/>
        </w:rPr>
        <w:t xml:space="preserve">                   </w:t>
      </w:r>
      <w:r>
        <w:rPr>
          <w:rStyle w:val="hebrew"/>
          <w:rtl/>
        </w:rPr>
        <w:tab/>
        <w:t xml:space="preserve">וַיֹּאמֶר֩ עֹ֨וד אֱלֹהִ֜ים אֶל־מֹשֶׁ֗ה כֹּֽה־תֹאמַר֮ אֶל־בְּנֵ֣י יִשְׂרָאֵל֒ יְהוָ֞ה אֱלֹהֵ֣י אֲבֹתֵיכֶ֗ם אֱלֹהֵ֨י אַבְרָהָ֜ם אֱלֹהֵ֥י יִצְחָ֛ק וֵאלֹהֵ֥י יַעֲקֹ֖ב שְׁלָחַ֣נִי אֲלֵיכֶ֑ם זֶה־שְּׁמִ֣י לְעֹלָ֔ם וְזֶ֥ה </w:t>
      </w:r>
      <w:r w:rsidRPr="00106CA9">
        <w:rPr>
          <w:rStyle w:val="hebrew"/>
          <w:highlight w:val="green"/>
          <w:rtl/>
        </w:rPr>
        <w:t>זִכְרִ֖י לְדֹ֥ר דֹּֽר</w:t>
      </w:r>
      <w:r>
        <w:rPr>
          <w:rStyle w:val="hebrew"/>
          <w:rtl/>
        </w:rPr>
        <w:t>׃</w:t>
      </w:r>
    </w:p>
    <w:p w:rsidR="00064D06" w:rsidRPr="00671C60" w:rsidRDefault="00064D06" w:rsidP="00064D06">
      <w:pPr>
        <w:pStyle w:val="Normlnweb"/>
        <w:jc w:val="right"/>
        <w:rPr>
          <w:rFonts w:asciiTheme="minorHAnsi" w:hAnsiTheme="minorHAnsi"/>
        </w:rPr>
      </w:pPr>
    </w:p>
    <w:p w:rsidR="00064D06" w:rsidRDefault="00064D06" w:rsidP="00064D06">
      <w:pPr>
        <w:spacing w:line="360" w:lineRule="auto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Řekl Bůh Mojžíšovi: </w:t>
      </w:r>
      <w:r w:rsidRPr="00F4323E">
        <w:rPr>
          <w:rFonts w:cstheme="minorHAnsi"/>
          <w:i/>
          <w:iCs/>
          <w:sz w:val="28"/>
          <w:szCs w:val="28"/>
          <w:highlight w:val="green"/>
        </w:rPr>
        <w:t>Jsem, který jsem (Přítomný)</w:t>
      </w:r>
      <w:r>
        <w:rPr>
          <w:rFonts w:cstheme="minorHAnsi"/>
          <w:i/>
          <w:iCs/>
          <w:sz w:val="28"/>
          <w:szCs w:val="28"/>
        </w:rPr>
        <w:t xml:space="preserve">, pak promluvil: „Řekni synům Izraele, </w:t>
      </w:r>
      <w:r w:rsidRPr="00F4323E">
        <w:rPr>
          <w:rFonts w:cstheme="minorHAnsi"/>
          <w:i/>
          <w:iCs/>
          <w:sz w:val="28"/>
          <w:szCs w:val="28"/>
          <w:highlight w:val="green"/>
        </w:rPr>
        <w:t>bůh Přítomný posílá</w:t>
      </w:r>
      <w:r>
        <w:rPr>
          <w:rFonts w:cstheme="minorHAnsi"/>
          <w:i/>
          <w:iCs/>
          <w:sz w:val="28"/>
          <w:szCs w:val="28"/>
        </w:rPr>
        <w:t xml:space="preserve"> mě k vám.</w:t>
      </w:r>
    </w:p>
    <w:p w:rsidR="00064D06" w:rsidRPr="00F4323E" w:rsidRDefault="00064D06" w:rsidP="00064D06">
      <w:pPr>
        <w:spacing w:line="360" w:lineRule="auto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Promluvil potom Bůh k Mojžíšovi: Tak vyřiď synům Izraele: Hospodin, bůh vašich otců, bůh Abrahamův, bůh Izákův a bůh Jakobův posílá mě k vám. To je moje </w:t>
      </w:r>
      <w:r>
        <w:rPr>
          <w:rFonts w:cstheme="minorHAnsi"/>
          <w:i/>
          <w:iCs/>
          <w:sz w:val="28"/>
          <w:szCs w:val="28"/>
        </w:rPr>
        <w:lastRenderedPageBreak/>
        <w:t xml:space="preserve">jméno navěky (a všude), na to </w:t>
      </w:r>
      <w:r w:rsidRPr="00137232">
        <w:rPr>
          <w:rFonts w:cstheme="minorHAnsi"/>
          <w:b/>
          <w:bCs/>
          <w:i/>
          <w:iCs/>
          <w:sz w:val="28"/>
          <w:szCs w:val="28"/>
          <w:highlight w:val="green"/>
        </w:rPr>
        <w:t>budou vzpomínat (</w:t>
      </w:r>
      <w:r>
        <w:rPr>
          <w:rFonts w:cstheme="minorHAnsi"/>
          <w:b/>
          <w:bCs/>
          <w:i/>
          <w:iCs/>
          <w:sz w:val="28"/>
          <w:szCs w:val="28"/>
          <w:highlight w:val="green"/>
        </w:rPr>
        <w:t xml:space="preserve">budou </w:t>
      </w:r>
      <w:r w:rsidRPr="00137232">
        <w:rPr>
          <w:rFonts w:cstheme="minorHAnsi"/>
          <w:b/>
          <w:bCs/>
          <w:i/>
          <w:iCs/>
          <w:sz w:val="28"/>
          <w:szCs w:val="28"/>
          <w:highlight w:val="green"/>
        </w:rPr>
        <w:t>pamatovat) od pokolení do pokolení</w:t>
      </w:r>
      <w:r w:rsidRPr="00137232">
        <w:rPr>
          <w:rFonts w:cstheme="minorHAnsi"/>
          <w:b/>
          <w:bCs/>
          <w:i/>
          <w:iCs/>
          <w:sz w:val="28"/>
          <w:szCs w:val="28"/>
        </w:rPr>
        <w:t>.</w:t>
      </w:r>
      <w:r>
        <w:rPr>
          <w:rFonts w:cstheme="minorHAnsi"/>
          <w:i/>
          <w:iCs/>
          <w:sz w:val="28"/>
          <w:szCs w:val="28"/>
        </w:rPr>
        <w:t xml:space="preserve"> </w:t>
      </w:r>
    </w:p>
    <w:p w:rsidR="00064D06" w:rsidRDefault="00064D06" w:rsidP="00064D06">
      <w:pPr>
        <w:spacing w:line="360" w:lineRule="auto"/>
        <w:rPr>
          <w:rFonts w:cstheme="minorHAnsi"/>
          <w:b/>
          <w:bCs/>
          <w:sz w:val="28"/>
          <w:szCs w:val="28"/>
        </w:rPr>
      </w:pPr>
      <w:r w:rsidRPr="004423FD">
        <w:rPr>
          <w:rFonts w:cstheme="minorHAnsi"/>
          <w:b/>
          <w:bCs/>
          <w:noProof/>
          <w:sz w:val="28"/>
          <w:szCs w:val="28"/>
          <w:lang w:eastAsia="cs-CZ" w:bidi="he-IL"/>
        </w:rPr>
        <w:drawing>
          <wp:inline distT="0" distB="0" distL="0" distR="0" wp14:anchorId="3F400E33" wp14:editId="176D804A">
            <wp:extent cx="5760720" cy="5760720"/>
            <wp:effectExtent l="0" t="0" r="0" b="0"/>
            <wp:docPr id="2" name="Obrázek 2" descr="C:\Users\uzivatel\Documents\Antropomorfismy 2017 Milan Pavýza Lanpa\Mojžíšova cesta\Mojžíšova cesta - na pouš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ocuments\Antropomorfismy 2017 Milan Pavýza Lanpa\Mojžíšova cesta\Mojžíšova cesta - na poušt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Mýtus o exodu </w:t>
      </w:r>
      <w:r>
        <w:rPr>
          <w:rFonts w:cstheme="minorHAnsi"/>
          <w:sz w:val="28"/>
          <w:szCs w:val="28"/>
        </w:rPr>
        <w:t xml:space="preserve">vychází z ideje osvobození. V tomto směru J. Assmann navazuje na Rainera Albertze. Z egyptských otroků se stávají Hospodinovy děti, Boží synové. U proroka Ozeáše čteme: </w:t>
      </w:r>
      <w:r w:rsidRPr="00631550">
        <w:rPr>
          <w:rFonts w:cstheme="minorHAnsi"/>
          <w:i/>
          <w:iCs/>
          <w:sz w:val="28"/>
          <w:szCs w:val="28"/>
        </w:rPr>
        <w:t>„ Když byl Izrael mládenečkem, vyvedl jsem ho z Egypta.“</w:t>
      </w:r>
      <w:r>
        <w:rPr>
          <w:rFonts w:cstheme="minorHAnsi"/>
          <w:sz w:val="28"/>
          <w:szCs w:val="28"/>
        </w:rPr>
        <w:t xml:space="preserve"> (Srov. Oz 11,1). Dochází k proměně identity lidu, ze skupin šosu (nomádů na okraj společnosti) se stávají výjimečným lidem boha Osvoboditele, </w:t>
      </w:r>
      <w:r>
        <w:rPr>
          <w:rFonts w:cstheme="minorHAnsi"/>
          <w:sz w:val="28"/>
          <w:szCs w:val="28"/>
        </w:rPr>
        <w:lastRenderedPageBreak/>
        <w:t xml:space="preserve">Pána z Chorébu a Sinaje. Hospodin, který se nejvíc projevuje jako atmosférický Bůh, jako takový přebírá za Izraelity odpovědnost. 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Jan Assmann uvažuje o širším kontextu knihy Exodus. Neopomíná též zdůraznit vliv perského období, vládu Kýra Velikého, na formování představ o exodu, doposud kolující v kolektivní paměti předešlých generací Izraelitů. 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Táže se:                                Odpovídá: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Quis ?                                   Jeruzalémské  kněžství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Quid ?                                      Exodus z Egypta, vyvolení a smlouva na Sinaji, založení      kultu a svatostánku. 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Ubi?                                         Jeruzalém.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Quibus auxilis?                     Božská a perská autorita. 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Uvádí též zajímavé paralely mezi Mojžíšem a Abrahamem. 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 w:rsidRPr="004423FD">
        <w:rPr>
          <w:rFonts w:cstheme="minorHAnsi"/>
          <w:noProof/>
          <w:sz w:val="28"/>
          <w:szCs w:val="28"/>
          <w:lang w:eastAsia="cs-CZ" w:bidi="he-IL"/>
        </w:rPr>
        <w:drawing>
          <wp:inline distT="0" distB="0" distL="0" distR="0" wp14:anchorId="5EDF4E7A" wp14:editId="37D295FB">
            <wp:extent cx="4896000" cy="3672000"/>
            <wp:effectExtent l="0" t="0" r="0" b="5080"/>
            <wp:docPr id="4" name="Obrázek 4" descr="C:\Users\uzivatel\Desktop\Antropomorfismy 2017 Milan Pavýza Lanpa\Abrahamova cesta\Abrahamova cesta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Antropomorfismy 2017 Milan Pavýza Lanpa\Abrahamova cesta\Abrahamova cesta 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00" cy="36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 w:rsidRPr="004423FD">
        <w:rPr>
          <w:rFonts w:cstheme="minorHAnsi"/>
          <w:noProof/>
          <w:sz w:val="28"/>
          <w:szCs w:val="28"/>
          <w:lang w:eastAsia="cs-CZ" w:bidi="he-IL"/>
        </w:rPr>
        <w:lastRenderedPageBreak/>
        <w:drawing>
          <wp:inline distT="0" distB="0" distL="0" distR="0" wp14:anchorId="24D09B19" wp14:editId="71DACA8C">
            <wp:extent cx="5760720" cy="5933906"/>
            <wp:effectExtent l="0" t="0" r="0" b="0"/>
            <wp:docPr id="3" name="Obrázek 3" descr="C:\Users\uzivatel\Desktop\Antropomorfismy 2017 Milan Pavýza Lanpa\Abrahamova cesta\Abrahamova cest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Antropomorfismy 2017 Milan Pavýza Lanpa\Abrahamova cesta\Abrahamova cesta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3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Mýtus exodu z Egypta.                               Abrahamovský mýtus.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Hospodinovo společenství                           Hospodinovo společenství s Abrahamem.  s lidem.  (Kolektivní rozměr).                  (Individuální rozměr).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Vztah ke Kenaanu.                                       Vztah ke Kenaanu.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Exklusivita.                                                     Inklusivita. 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Bůh – Osvoboditel.                                       Bůh – Stvořitel. 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Mýtus o Mojžíšovi zahrnuje mimořádné narození a zachování života po narození, protivící se danému pořádku. Mojžíš vyrůstá ve stínu nepřítele, po konfliktu utíká a posléze se Bohem povolaný vrací jako Zachránce. Viditelnou paralelu tohoto mýtického rámce můžeme pozorovat např. u zakladatele Akkadské říše, Sargona Akkadského. Rovněž téma deseti ran dokládá osvojený mýtický koncept vítězství nad starými bohy. (Moderní interpretací jsou ekologické výklady egyptských deseti ran). 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Jedinečným </w:t>
      </w:r>
      <w:r w:rsidRPr="00D01F8E">
        <w:rPr>
          <w:rFonts w:cstheme="minorHAnsi"/>
          <w:b/>
          <w:bCs/>
          <w:sz w:val="28"/>
          <w:szCs w:val="28"/>
        </w:rPr>
        <w:t>narativem</w:t>
      </w:r>
      <w:r>
        <w:rPr>
          <w:rFonts w:cstheme="minorHAnsi"/>
          <w:sz w:val="28"/>
          <w:szCs w:val="28"/>
        </w:rPr>
        <w:t xml:space="preserve"> je pak rozvedení jarního svátku zvaného </w:t>
      </w:r>
      <w:r w:rsidRPr="00D01F8E">
        <w:rPr>
          <w:rFonts w:cstheme="minorHAnsi"/>
          <w:b/>
          <w:bCs/>
          <w:sz w:val="28"/>
          <w:szCs w:val="28"/>
        </w:rPr>
        <w:t>pesach</w:t>
      </w:r>
      <w:r>
        <w:rPr>
          <w:rFonts w:cstheme="minorHAnsi"/>
          <w:sz w:val="28"/>
          <w:szCs w:val="28"/>
        </w:rPr>
        <w:t xml:space="preserve"> do příběhu se zázračným vývojem a pozoruhodnými zvraty. Tradice o slavení svátku patrně kolovala samostatně poměrně dlouhou dobu. První proměny příběh  zaznamenává asi v době vlády velkého judského reformátora panovníka Jošiáše. 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 době perské má jednoznačně osvoboditelský charakter, který ukazuje na zázračné vedení lidu, jehož bohem je právě Hospodin. Nejde vždy jen o skutečnou socio</w:t>
      </w:r>
      <w:r w:rsidR="00047817">
        <w:rPr>
          <w:rFonts w:cstheme="minorHAnsi"/>
          <w:sz w:val="28"/>
          <w:szCs w:val="28"/>
        </w:rPr>
        <w:t xml:space="preserve"> </w:t>
      </w:r>
      <w:bookmarkStart w:id="0" w:name="_GoBack"/>
      <w:bookmarkEnd w:id="0"/>
      <w:r>
        <w:rPr>
          <w:rFonts w:cstheme="minorHAnsi"/>
          <w:sz w:val="28"/>
          <w:szCs w:val="28"/>
        </w:rPr>
        <w:t>-</w:t>
      </w:r>
      <w:r w:rsidR="0004781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politickou svobodu a suverenitu, ale o komunitní svobodu Hospodinova lidu. Takto je prožívaný narativ v kolektivním vzpomínání předávaný z generace na generaci. Proto má až dodnes velký význam připomínání tohoto mýtu v rámci rodiny i v rámci obce. 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</w:t>
      </w: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</w:p>
    <w:p w:rsidR="00064D06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</w:p>
    <w:p w:rsidR="00064D06" w:rsidRPr="002A6C3F" w:rsidRDefault="00064D06" w:rsidP="00064D06">
      <w:pPr>
        <w:spacing w:line="360" w:lineRule="auto"/>
        <w:jc w:val="both"/>
        <w:rPr>
          <w:rFonts w:cstheme="minorHAnsi"/>
          <w:sz w:val="28"/>
          <w:szCs w:val="28"/>
        </w:rPr>
      </w:pPr>
    </w:p>
    <w:p w:rsidR="00064D06" w:rsidRPr="0003245C" w:rsidRDefault="00064D06" w:rsidP="00064D06">
      <w:pPr>
        <w:spacing w:line="360" w:lineRule="auto"/>
        <w:rPr>
          <w:rFonts w:cstheme="minorHAnsi"/>
          <w:sz w:val="28"/>
          <w:szCs w:val="28"/>
        </w:rPr>
      </w:pPr>
    </w:p>
    <w:p w:rsidR="00B652F3" w:rsidRDefault="00B652F3"/>
    <w:sectPr w:rsidR="00B65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71B" w:rsidRDefault="00E0771B" w:rsidP="00064D06">
      <w:pPr>
        <w:spacing w:after="0" w:line="240" w:lineRule="auto"/>
      </w:pPr>
      <w:r>
        <w:separator/>
      </w:r>
    </w:p>
  </w:endnote>
  <w:endnote w:type="continuationSeparator" w:id="0">
    <w:p w:rsidR="00E0771B" w:rsidRDefault="00E0771B" w:rsidP="00064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71B" w:rsidRDefault="00E0771B" w:rsidP="00064D06">
      <w:pPr>
        <w:spacing w:after="0" w:line="240" w:lineRule="auto"/>
      </w:pPr>
      <w:r>
        <w:separator/>
      </w:r>
    </w:p>
  </w:footnote>
  <w:footnote w:type="continuationSeparator" w:id="0">
    <w:p w:rsidR="00E0771B" w:rsidRDefault="00E0771B" w:rsidP="00064D06">
      <w:pPr>
        <w:spacing w:after="0" w:line="240" w:lineRule="auto"/>
      </w:pPr>
      <w:r>
        <w:continuationSeparator/>
      </w:r>
    </w:p>
  </w:footnote>
  <w:footnote w:id="1">
    <w:p w:rsidR="00064D06" w:rsidRDefault="00064D06" w:rsidP="00064D06">
      <w:pPr>
        <w:pStyle w:val="Textpoznpodarou"/>
      </w:pPr>
      <w:r>
        <w:rPr>
          <w:rStyle w:val="Znakapoznpodarou"/>
        </w:rPr>
        <w:footnoteRef/>
      </w:r>
      <w:r>
        <w:t xml:space="preserve"> K výrazným představitelům této oblasti bádání patří německý egyptolog a religionista Jan Assmann, který se pokusil definovat čtyři oblasti „ memory studies“. Dělí ji na mimetickou, paměť uchovávající informaci o věcech, komunikační paměť a kulturní paměť, která nějakým způsobem zahrnuje tři paměti předchozí, a to v podobě rituálů a slavnostních vyprávění. </w:t>
      </w:r>
    </w:p>
  </w:footnote>
  <w:footnote w:id="2">
    <w:p w:rsidR="00064D06" w:rsidRDefault="00064D06" w:rsidP="00064D06">
      <w:pPr>
        <w:pStyle w:val="Textpoznpodarou"/>
      </w:pPr>
      <w:r>
        <w:rPr>
          <w:rStyle w:val="Znakapoznpodarou"/>
        </w:rPr>
        <w:footnoteRef/>
      </w:r>
      <w:r>
        <w:t xml:space="preserve"> Činí tak teolog Rainer Albertz.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06"/>
    <w:rsid w:val="00047817"/>
    <w:rsid w:val="00064D06"/>
    <w:rsid w:val="00B652F3"/>
    <w:rsid w:val="00CD6165"/>
    <w:rsid w:val="00E0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D755"/>
  <w15:chartTrackingRefBased/>
  <w15:docId w15:val="{758E9EED-B03E-4C29-9F1E-FB910EE98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4D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4D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4D0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64D06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06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 w:bidi="he-IL"/>
    </w:rPr>
  </w:style>
  <w:style w:type="character" w:customStyle="1" w:styleId="verse">
    <w:name w:val="verse"/>
    <w:basedOn w:val="Standardnpsmoodstavce"/>
    <w:rsid w:val="00064D06"/>
  </w:style>
  <w:style w:type="character" w:customStyle="1" w:styleId="hebrew">
    <w:name w:val="hebrew"/>
    <w:basedOn w:val="Standardnpsmoodstavce"/>
    <w:rsid w:val="00064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Zářivý okraj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625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 v Praze - HTF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2018-04-02T13:49:00Z</dcterms:created>
  <dcterms:modified xsi:type="dcterms:W3CDTF">2018-04-02T14:06:00Z</dcterms:modified>
</cp:coreProperties>
</file>