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4DF4" w:rsidRDefault="00BF445B" w:rsidP="00BF445B">
      <w:proofErr w:type="spellStart"/>
      <w:r>
        <w:t>Perniss</w:t>
      </w:r>
      <w:proofErr w:type="spellEnd"/>
      <w:r>
        <w:t xml:space="preserve">, P. M., </w:t>
      </w:r>
      <w:proofErr w:type="spellStart"/>
      <w:r>
        <w:t>Zwitserlood</w:t>
      </w:r>
      <w:proofErr w:type="spellEnd"/>
      <w:r>
        <w:t xml:space="preserve">, I., &amp; </w:t>
      </w:r>
      <w:proofErr w:type="spellStart"/>
      <w:r>
        <w:t>Ozyurek</w:t>
      </w:r>
      <w:proofErr w:type="spellEnd"/>
      <w:r>
        <w:t xml:space="preserve">, A. </w:t>
      </w:r>
      <w:r>
        <w:rPr>
          <w:rStyle w:val="displaydatestatus"/>
        </w:rPr>
        <w:t>(2015).</w:t>
      </w:r>
      <w:r>
        <w:t xml:space="preserve"> </w:t>
      </w:r>
      <w:proofErr w:type="spellStart"/>
      <w:r>
        <w:t>Does</w:t>
      </w:r>
      <w:proofErr w:type="spellEnd"/>
      <w:r>
        <w:t xml:space="preserve"> </w:t>
      </w:r>
      <w:proofErr w:type="spellStart"/>
      <w:r>
        <w:t>space</w:t>
      </w:r>
      <w:proofErr w:type="spellEnd"/>
      <w:r>
        <w:t xml:space="preserve"> </w:t>
      </w:r>
      <w:proofErr w:type="spellStart"/>
      <w:r>
        <w:t>structure</w:t>
      </w:r>
      <w:proofErr w:type="spellEnd"/>
      <w:r>
        <w:t xml:space="preserve"> </w:t>
      </w:r>
      <w:proofErr w:type="spellStart"/>
      <w:r>
        <w:t>spatial</w:t>
      </w:r>
      <w:proofErr w:type="spellEnd"/>
      <w:r>
        <w:t xml:space="preserve"> </w:t>
      </w:r>
      <w:proofErr w:type="spellStart"/>
      <w:r>
        <w:t>language</w:t>
      </w:r>
      <w:proofErr w:type="spellEnd"/>
      <w:r>
        <w:t xml:space="preserve">? A </w:t>
      </w:r>
      <w:proofErr w:type="spellStart"/>
      <w:r>
        <w:t>comparison</w:t>
      </w:r>
      <w:proofErr w:type="spellEnd"/>
      <w:r>
        <w:t xml:space="preserve"> </w:t>
      </w:r>
      <w:proofErr w:type="spellStart"/>
      <w:r>
        <w:t>of</w:t>
      </w:r>
      <w:proofErr w:type="spellEnd"/>
      <w:r>
        <w:t xml:space="preserve"> </w:t>
      </w:r>
      <w:proofErr w:type="spellStart"/>
      <w:r>
        <w:t>spatial</w:t>
      </w:r>
      <w:proofErr w:type="spellEnd"/>
      <w:r>
        <w:t xml:space="preserve"> </w:t>
      </w:r>
      <w:proofErr w:type="spellStart"/>
      <w:r>
        <w:t>expression</w:t>
      </w:r>
      <w:proofErr w:type="spellEnd"/>
      <w:r>
        <w:t xml:space="preserve"> </w:t>
      </w:r>
      <w:proofErr w:type="spellStart"/>
      <w:r>
        <w:t>across</w:t>
      </w:r>
      <w:proofErr w:type="spellEnd"/>
      <w:r>
        <w:t xml:space="preserve"> sign </w:t>
      </w:r>
      <w:proofErr w:type="spellStart"/>
      <w:r>
        <w:t>languages</w:t>
      </w:r>
      <w:proofErr w:type="spellEnd"/>
      <w:r>
        <w:t>.</w:t>
      </w:r>
      <w:r>
        <w:rPr>
          <w:rStyle w:val="italic"/>
        </w:rPr>
        <w:t xml:space="preserve"> </w:t>
      </w:r>
      <w:proofErr w:type="spellStart"/>
      <w:r>
        <w:rPr>
          <w:rStyle w:val="italic"/>
        </w:rPr>
        <w:t>Language</w:t>
      </w:r>
      <w:proofErr w:type="spellEnd"/>
      <w:r>
        <w:rPr>
          <w:rStyle w:val="italic"/>
        </w:rPr>
        <w:t>,</w:t>
      </w:r>
      <w:r>
        <w:t xml:space="preserve"> </w:t>
      </w:r>
      <w:r>
        <w:rPr>
          <w:rStyle w:val="italic"/>
        </w:rPr>
        <w:t>91</w:t>
      </w:r>
      <w:r>
        <w:t>(3), 611-641.</w:t>
      </w:r>
    </w:p>
    <w:p w:rsidR="00BF445B" w:rsidRDefault="00AB2817" w:rsidP="00BF445B">
      <w:hyperlink r:id="rId8" w:history="1">
        <w:r w:rsidR="00BF445B" w:rsidRPr="008B4DF2">
          <w:rPr>
            <w:rStyle w:val="Hypertextovodkaz"/>
          </w:rPr>
          <w:t>http://pubman.mpdl.mpg.de/pubman/item/escidoc:1824967:10/component/escidoc:2213060/Perniss_etal_Lg_2015.pdf</w:t>
        </w:r>
      </w:hyperlink>
    </w:p>
    <w:p w:rsidR="00BF445B" w:rsidRDefault="00BF445B" w:rsidP="000018AD">
      <w:pPr>
        <w:jc w:val="both"/>
      </w:pPr>
    </w:p>
    <w:p w:rsidR="00FD2A8D" w:rsidRPr="00FD2A8D" w:rsidRDefault="00FD2A8D" w:rsidP="00FD2A8D">
      <w:pPr>
        <w:pStyle w:val="Odstavecseseznamem"/>
        <w:numPr>
          <w:ilvl w:val="0"/>
          <w:numId w:val="3"/>
        </w:numPr>
        <w:jc w:val="both"/>
        <w:rPr>
          <w:b/>
        </w:rPr>
      </w:pPr>
      <w:r w:rsidRPr="00FD2A8D">
        <w:rPr>
          <w:b/>
        </w:rPr>
        <w:t xml:space="preserve">INTRODUCTION – ÚVOD </w:t>
      </w:r>
    </w:p>
    <w:p w:rsidR="00BF445B" w:rsidRDefault="00BF445B" w:rsidP="000018AD">
      <w:pPr>
        <w:pStyle w:val="Odstavecseseznamem"/>
        <w:numPr>
          <w:ilvl w:val="0"/>
          <w:numId w:val="1"/>
        </w:numPr>
        <w:jc w:val="both"/>
      </w:pPr>
      <w:r>
        <w:t>Porovnání vyjádření prostorových vztahů napříč znakovými jazyky – jsou mezi nimi větší rozdíly, než se předpokládalo</w:t>
      </w:r>
    </w:p>
    <w:p w:rsidR="00BF445B" w:rsidRDefault="00BF445B" w:rsidP="000018AD">
      <w:pPr>
        <w:pStyle w:val="Odstavecseseznamem"/>
        <w:numPr>
          <w:ilvl w:val="0"/>
          <w:numId w:val="1"/>
        </w:numPr>
        <w:jc w:val="both"/>
      </w:pPr>
      <w:r>
        <w:t>Text se zaměřuje na srovnání německého (DGS) a tureckého (TID) znakového jazyka a jejich kvantitativní a kvalitativní rozdíly</w:t>
      </w:r>
    </w:p>
    <w:p w:rsidR="00BF445B" w:rsidRDefault="00BF445B" w:rsidP="000018AD">
      <w:pPr>
        <w:pStyle w:val="Odstavecseseznamem"/>
        <w:numPr>
          <w:ilvl w:val="0"/>
          <w:numId w:val="1"/>
        </w:numPr>
        <w:jc w:val="both"/>
      </w:pPr>
      <w:r>
        <w:t xml:space="preserve">První systematické porovnání kódování (vyjádření) statických prostorových vztahů, jako základního typu popisu umisťování </w:t>
      </w:r>
    </w:p>
    <w:p w:rsidR="002C76A2" w:rsidRDefault="002C76A2" w:rsidP="000018AD">
      <w:pPr>
        <w:pStyle w:val="Odstavecseseznamem"/>
        <w:numPr>
          <w:ilvl w:val="0"/>
          <w:numId w:val="1"/>
        </w:numPr>
        <w:jc w:val="both"/>
      </w:pPr>
      <w:r>
        <w:t>Zaměření na vyjadřování prostorových vztahů dvou nebo více objektů – vztah FIGURE-FIGURE a FIGURE-GROUND  - kvantitativní i kvalitativní analýza</w:t>
      </w:r>
    </w:p>
    <w:p w:rsidR="002C76A2" w:rsidRDefault="00137462" w:rsidP="000018AD">
      <w:pPr>
        <w:pStyle w:val="Odstavecseseznamem"/>
        <w:numPr>
          <w:ilvl w:val="0"/>
          <w:numId w:val="1"/>
        </w:numPr>
        <w:jc w:val="both"/>
      </w:pPr>
      <w:r>
        <w:t xml:space="preserve">DGS a TID byly vybrány, protože jsou přístupné autorům, jsou historicky nesvázané a jsou geograficky vzdálené (nemají společné kořeny ani častý přímý kontakt) </w:t>
      </w:r>
    </w:p>
    <w:p w:rsidR="00137462" w:rsidRDefault="00137462" w:rsidP="000018AD">
      <w:pPr>
        <w:pStyle w:val="Odstavecseseznamem"/>
        <w:numPr>
          <w:ilvl w:val="0"/>
          <w:numId w:val="1"/>
        </w:numPr>
        <w:jc w:val="both"/>
      </w:pPr>
      <w:proofErr w:type="spellStart"/>
      <w:r>
        <w:t>Elicitace</w:t>
      </w:r>
      <w:proofErr w:type="spellEnd"/>
      <w:r>
        <w:t xml:space="preserve"> na základě obrázků</w:t>
      </w:r>
    </w:p>
    <w:p w:rsidR="00137462" w:rsidRDefault="000018AD" w:rsidP="000018AD">
      <w:pPr>
        <w:pStyle w:val="Odstavecseseznamem"/>
        <w:numPr>
          <w:ilvl w:val="0"/>
          <w:numId w:val="1"/>
        </w:numPr>
        <w:jc w:val="both"/>
      </w:pPr>
      <w:r>
        <w:t>Tři typy informací:</w:t>
      </w:r>
    </w:p>
    <w:p w:rsidR="000018AD" w:rsidRDefault="000018AD" w:rsidP="000018AD">
      <w:pPr>
        <w:pStyle w:val="Odstavecseseznamem"/>
        <w:numPr>
          <w:ilvl w:val="0"/>
          <w:numId w:val="2"/>
        </w:numPr>
        <w:jc w:val="both"/>
      </w:pPr>
      <w:r>
        <w:t xml:space="preserve">Reprezentace/zpodobnění </w:t>
      </w:r>
      <w:proofErr w:type="spellStart"/>
      <w:r>
        <w:t>entitity</w:t>
      </w:r>
      <w:proofErr w:type="spellEnd"/>
      <w:r>
        <w:t>/objektu (</w:t>
      </w:r>
      <w:proofErr w:type="spellStart"/>
      <w:r>
        <w:t>entitiy</w:t>
      </w:r>
      <w:proofErr w:type="spellEnd"/>
      <w:r>
        <w:t xml:space="preserve"> </w:t>
      </w:r>
      <w:proofErr w:type="spellStart"/>
      <w:r>
        <w:t>representation</w:t>
      </w:r>
      <w:proofErr w:type="spellEnd"/>
      <w:r>
        <w:t xml:space="preserve">): jak je reprezentována figura a </w:t>
      </w:r>
      <w:proofErr w:type="spellStart"/>
      <w:r>
        <w:t>ground</w:t>
      </w:r>
      <w:proofErr w:type="spellEnd"/>
      <w:r>
        <w:t xml:space="preserve"> v umisťovacích (</w:t>
      </w:r>
      <w:proofErr w:type="spellStart"/>
      <w:r>
        <w:t>locative</w:t>
      </w:r>
      <w:proofErr w:type="spellEnd"/>
      <w:r>
        <w:t>) konstrukcích (např. užití klasifikátoru)</w:t>
      </w:r>
    </w:p>
    <w:p w:rsidR="000018AD" w:rsidRDefault="000018AD" w:rsidP="000018AD">
      <w:pPr>
        <w:pStyle w:val="Odstavecseseznamem"/>
        <w:numPr>
          <w:ilvl w:val="0"/>
          <w:numId w:val="2"/>
        </w:numPr>
        <w:jc w:val="both"/>
      </w:pPr>
      <w:r>
        <w:t>Zpodobnění/zobrazení umístění (</w:t>
      </w:r>
      <w:proofErr w:type="spellStart"/>
      <w:r>
        <w:t>location</w:t>
      </w:r>
      <w:proofErr w:type="spellEnd"/>
      <w:r>
        <w:t xml:space="preserve"> </w:t>
      </w:r>
      <w:proofErr w:type="spellStart"/>
      <w:r>
        <w:t>representatiton</w:t>
      </w:r>
      <w:proofErr w:type="spellEnd"/>
      <w:r>
        <w:t>)</w:t>
      </w:r>
      <w:r w:rsidR="004E4D64">
        <w:t xml:space="preserve"> – jak je prostorové umístění objektů kódováno do znakového jazyka (např. ikonickým, topografickým způsobem s respektem k reálnému uspořádání)</w:t>
      </w:r>
    </w:p>
    <w:p w:rsidR="004E4D64" w:rsidRDefault="004E4D64" w:rsidP="000018AD">
      <w:pPr>
        <w:pStyle w:val="Odstavecseseznamem"/>
        <w:numPr>
          <w:ilvl w:val="0"/>
          <w:numId w:val="2"/>
        </w:numPr>
        <w:jc w:val="both"/>
      </w:pPr>
      <w:r>
        <w:t>Simultánní reprezentace referentů (</w:t>
      </w:r>
      <w:proofErr w:type="spellStart"/>
      <w:r>
        <w:t>simultaneous</w:t>
      </w:r>
      <w:proofErr w:type="spellEnd"/>
      <w:r>
        <w:t xml:space="preserve"> referent </w:t>
      </w:r>
      <w:proofErr w:type="spellStart"/>
      <w:r>
        <w:t>representation</w:t>
      </w:r>
      <w:proofErr w:type="spellEnd"/>
      <w:r>
        <w:t>) – zobrazení více než jednoho referenta ve stejném čase</w:t>
      </w:r>
      <w:r w:rsidR="002E3E9D">
        <w:t xml:space="preserve"> – přímá explicitní reprezentace</w:t>
      </w:r>
      <w:r>
        <w:t xml:space="preserve"> prostorových vztahů mezi objekty (např. užití obou rukou ve stejném čase pro reprezentaci figury a </w:t>
      </w:r>
      <w:proofErr w:type="spellStart"/>
      <w:r>
        <w:t>ground</w:t>
      </w:r>
      <w:proofErr w:type="spellEnd"/>
      <w:r>
        <w:t>)</w:t>
      </w:r>
    </w:p>
    <w:p w:rsidR="00223FAA" w:rsidRDefault="00223FAA" w:rsidP="00223FAA">
      <w:pPr>
        <w:pStyle w:val="Odstavecseseznamem"/>
        <w:numPr>
          <w:ilvl w:val="0"/>
          <w:numId w:val="1"/>
        </w:numPr>
        <w:jc w:val="both"/>
      </w:pPr>
      <w:r>
        <w:t>Sémantická specifičnost – stupeň ikoničnosti/ikonicity: s ohledem na reprezentaci objektů, ve které je zakódován tvar objektu ikonickým způsobem, reprezentujícím vnímatelné rysy objektu (např. určitým tvarem ruky napodobujícím/nenapodobujícím objekt); umístění vyobrazovaných předmětů do prostoru (kopírovaní skutečného prostoru do zna</w:t>
      </w:r>
      <w:r w:rsidR="003A178A">
        <w:t>k</w:t>
      </w:r>
      <w:r>
        <w:t xml:space="preserve">ování) ikonickým způsobem; simultánní vyznačování objektů je </w:t>
      </w:r>
      <w:proofErr w:type="spellStart"/>
      <w:r>
        <w:t>ikoničtější</w:t>
      </w:r>
      <w:proofErr w:type="spellEnd"/>
      <w:r>
        <w:t>, než sekvenční zobrazování objektů v prostoru</w:t>
      </w:r>
    </w:p>
    <w:p w:rsidR="00223FAA" w:rsidRDefault="00FD2A8D" w:rsidP="00223FAA">
      <w:pPr>
        <w:pStyle w:val="Odstavecseseznamem"/>
        <w:numPr>
          <w:ilvl w:val="0"/>
          <w:numId w:val="1"/>
        </w:numPr>
        <w:jc w:val="both"/>
      </w:pPr>
      <w:r>
        <w:t>Zjišťujeme, jak lépe porozumět tomu, jak je vnímatelná zkušenost s prostorem kódována ve znakových jazycích, a jaká je role jazykové modality při vytváření lingvistických výrazů</w:t>
      </w:r>
    </w:p>
    <w:p w:rsidR="00FD2A8D" w:rsidRDefault="00FD2A8D" w:rsidP="00FD2A8D">
      <w:pPr>
        <w:jc w:val="both"/>
      </w:pPr>
    </w:p>
    <w:p w:rsidR="00FD2A8D" w:rsidRPr="00B51376" w:rsidRDefault="00FD2A8D" w:rsidP="00FD2A8D">
      <w:pPr>
        <w:pStyle w:val="Odstavecseseznamem"/>
        <w:numPr>
          <w:ilvl w:val="0"/>
          <w:numId w:val="3"/>
        </w:numPr>
        <w:jc w:val="both"/>
        <w:rPr>
          <w:b/>
        </w:rPr>
      </w:pPr>
      <w:r w:rsidRPr="00B51376">
        <w:rPr>
          <w:b/>
        </w:rPr>
        <w:t>BACKGROUND</w:t>
      </w:r>
    </w:p>
    <w:p w:rsidR="00FD2A8D" w:rsidRDefault="00CC711E" w:rsidP="00CC711E">
      <w:pPr>
        <w:pStyle w:val="Odstavecseseznamem"/>
        <w:numPr>
          <w:ilvl w:val="0"/>
          <w:numId w:val="1"/>
        </w:numPr>
        <w:jc w:val="both"/>
      </w:pPr>
      <w:r>
        <w:t xml:space="preserve">Výrazy pro umisťování </w:t>
      </w:r>
      <w:r w:rsidR="00D55E49">
        <w:t xml:space="preserve">– lokativní výrazy </w:t>
      </w:r>
      <w:r>
        <w:t>v </w:t>
      </w:r>
      <w:r w:rsidRPr="00D55E49">
        <w:rPr>
          <w:b/>
        </w:rPr>
        <w:t>mluvených jazycích</w:t>
      </w:r>
      <w:r>
        <w:t xml:space="preserve"> – typologická diverzita, vokální modalita nedovoluje fyzicky kódovat prostorové vztahy</w:t>
      </w:r>
    </w:p>
    <w:p w:rsidR="00CC711E" w:rsidRDefault="00CC711E" w:rsidP="00CC711E">
      <w:pPr>
        <w:pStyle w:val="Odstavecseseznamem"/>
        <w:numPr>
          <w:ilvl w:val="0"/>
          <w:numId w:val="1"/>
        </w:numPr>
        <w:jc w:val="both"/>
      </w:pPr>
      <w:r>
        <w:t xml:space="preserve">Většina využívá </w:t>
      </w:r>
      <w:proofErr w:type="spellStart"/>
      <w:r>
        <w:t>asposition</w:t>
      </w:r>
      <w:proofErr w:type="spellEnd"/>
      <w:r>
        <w:t xml:space="preserve"> – prostorové předložky vlastní mnoha evropským jazykům (v, na, pod) – nezohledňuje o jaké objekty/entity se jedná a jak přesně jsou uspořádány</w:t>
      </w:r>
    </w:p>
    <w:p w:rsidR="00CC711E" w:rsidRDefault="00CC711E" w:rsidP="00CC711E">
      <w:pPr>
        <w:pStyle w:val="Odstavecseseznamem"/>
        <w:numPr>
          <w:ilvl w:val="0"/>
          <w:numId w:val="1"/>
        </w:numPr>
        <w:jc w:val="both"/>
      </w:pPr>
      <w:r>
        <w:t xml:space="preserve">Např. Hrnek je na stole.  – neobsahuje žádnou informaci o tom, kde přesně je a jak je orientován; některé jazyky nerozlišují ani horizontální a vertikální rovinu, např. na stole, na stěně </w:t>
      </w:r>
    </w:p>
    <w:p w:rsidR="00CC711E" w:rsidRDefault="00CC711E" w:rsidP="00CC711E">
      <w:pPr>
        <w:pStyle w:val="Odstavecseseznamem"/>
        <w:numPr>
          <w:ilvl w:val="0"/>
          <w:numId w:val="1"/>
        </w:numPr>
        <w:jc w:val="both"/>
      </w:pPr>
      <w:r>
        <w:t>Dále jsou využívána slovesa/přísudky: Kniha stojí/leží na stole. Některé jazyky mají větší škálu prostředků pro vyjádření umístění objektů, mají klasifikátory, dokážou vyjádřit tvar a pozici (většinu pouze pro figuru)</w:t>
      </w:r>
    </w:p>
    <w:p w:rsidR="00D55E49" w:rsidRDefault="00D55E49" w:rsidP="00CC711E">
      <w:pPr>
        <w:pStyle w:val="Odstavecseseznamem"/>
        <w:numPr>
          <w:ilvl w:val="0"/>
          <w:numId w:val="1"/>
        </w:numPr>
        <w:jc w:val="both"/>
      </w:pPr>
      <w:r>
        <w:t>Vždy lineární vyjádření</w:t>
      </w:r>
    </w:p>
    <w:p w:rsidR="00D55E49" w:rsidRDefault="00D55E49" w:rsidP="00D55E49">
      <w:pPr>
        <w:jc w:val="both"/>
      </w:pPr>
    </w:p>
    <w:p w:rsidR="00D55E49" w:rsidRDefault="00D55E49" w:rsidP="007365A0">
      <w:pPr>
        <w:pStyle w:val="Odstavecseseznamem"/>
        <w:numPr>
          <w:ilvl w:val="0"/>
          <w:numId w:val="1"/>
        </w:numPr>
        <w:jc w:val="both"/>
      </w:pPr>
      <w:r>
        <w:t xml:space="preserve">Lokativní výrazy/prostředky ve </w:t>
      </w:r>
      <w:r w:rsidRPr="00D55E49">
        <w:rPr>
          <w:b/>
        </w:rPr>
        <w:t xml:space="preserve">znakových jazycích </w:t>
      </w:r>
      <w:r>
        <w:t xml:space="preserve">– přímé mapování vztahu figura </w:t>
      </w:r>
      <w:proofErr w:type="spellStart"/>
      <w:r>
        <w:t>ground</w:t>
      </w:r>
      <w:proofErr w:type="spellEnd"/>
      <w:r>
        <w:t xml:space="preserve">, využívání vizuálně-prostorové modality, vysoký stupeň ikonicity, mezi prostředky užívané ve ZJ řadíme: </w:t>
      </w:r>
    </w:p>
    <w:p w:rsidR="00D55E49" w:rsidRDefault="00D55E49" w:rsidP="00D55E49">
      <w:pPr>
        <w:pStyle w:val="Odstavecseseznamem"/>
        <w:numPr>
          <w:ilvl w:val="0"/>
          <w:numId w:val="1"/>
        </w:numPr>
        <w:jc w:val="both"/>
      </w:pPr>
      <w:r w:rsidRPr="00006D6F">
        <w:rPr>
          <w:b/>
        </w:rPr>
        <w:t>Klasifikátory</w:t>
      </w:r>
      <w:r>
        <w:t xml:space="preserve">  - </w:t>
      </w:r>
      <w:proofErr w:type="spellStart"/>
      <w:r>
        <w:t>locative</w:t>
      </w:r>
      <w:proofErr w:type="spellEnd"/>
      <w:r>
        <w:t xml:space="preserve"> </w:t>
      </w:r>
      <w:proofErr w:type="spellStart"/>
      <w:r>
        <w:t>classifier</w:t>
      </w:r>
      <w:proofErr w:type="spellEnd"/>
      <w:r>
        <w:t xml:space="preserve"> </w:t>
      </w:r>
      <w:proofErr w:type="spellStart"/>
      <w:r>
        <w:t>predicates</w:t>
      </w:r>
      <w:proofErr w:type="spellEnd"/>
      <w:r>
        <w:t xml:space="preserve"> – umístění ruky kóduje umístění referenta, tvar ruky (klasifikátor) kóduje typ referenta – sémantické rysy, zejména velikost a tvar, orientace ruky – polohu referenta; simultánní klasifikátorová konstrukce umožňuje zobrazit prostorové vztahy mezi referenty – vysoká ikonicita – simultánní přímá reprezentace objektů (mimo to jsou užívaný také </w:t>
      </w:r>
      <w:proofErr w:type="spellStart"/>
      <w:r>
        <w:t>kl</w:t>
      </w:r>
      <w:proofErr w:type="spellEnd"/>
      <w:r>
        <w:t xml:space="preserve"> držení – </w:t>
      </w:r>
      <w:proofErr w:type="spellStart"/>
      <w:r>
        <w:t>handling</w:t>
      </w:r>
      <w:proofErr w:type="spellEnd"/>
      <w:r>
        <w:t xml:space="preserve">  – manipulace s předměty) – toto bylo popsáno pro mnoho ZJ</w:t>
      </w:r>
    </w:p>
    <w:p w:rsidR="00D55E49" w:rsidRPr="00006D6F" w:rsidRDefault="00D55E49" w:rsidP="00D55E49">
      <w:pPr>
        <w:pStyle w:val="Odstavecseseznamem"/>
        <w:numPr>
          <w:ilvl w:val="0"/>
          <w:numId w:val="1"/>
        </w:numPr>
        <w:jc w:val="both"/>
        <w:rPr>
          <w:b/>
        </w:rPr>
      </w:pPr>
      <w:r w:rsidRPr="00006D6F">
        <w:rPr>
          <w:b/>
        </w:rPr>
        <w:t>Specifikátory tvaru a velikosti</w:t>
      </w:r>
      <w:r w:rsidR="00006D6F">
        <w:rPr>
          <w:b/>
        </w:rPr>
        <w:t xml:space="preserve"> </w:t>
      </w:r>
      <w:r w:rsidR="00006D6F">
        <w:t xml:space="preserve">– „nakreslení obvodu objektu“, mohou být kombinovány s lokativními predikáty – pro naznačení konkrétního místa, kde se objekt nachází, reprezentují specifické rysy objektů </w:t>
      </w:r>
    </w:p>
    <w:p w:rsidR="00006D6F" w:rsidRPr="00006D6F" w:rsidRDefault="00006D6F" w:rsidP="00D55E49">
      <w:pPr>
        <w:pStyle w:val="Odstavecseseznamem"/>
        <w:numPr>
          <w:ilvl w:val="0"/>
          <w:numId w:val="1"/>
        </w:numPr>
        <w:jc w:val="both"/>
        <w:rPr>
          <w:b/>
        </w:rPr>
      </w:pPr>
      <w:proofErr w:type="spellStart"/>
      <w:r>
        <w:rPr>
          <w:b/>
        </w:rPr>
        <w:t>Relational</w:t>
      </w:r>
      <w:proofErr w:type="spellEnd"/>
      <w:r>
        <w:rPr>
          <w:b/>
        </w:rPr>
        <w:t xml:space="preserve"> </w:t>
      </w:r>
      <w:proofErr w:type="spellStart"/>
      <w:r>
        <w:rPr>
          <w:b/>
        </w:rPr>
        <w:t>lexemes</w:t>
      </w:r>
      <w:proofErr w:type="spellEnd"/>
      <w:r>
        <w:rPr>
          <w:b/>
        </w:rPr>
        <w:t xml:space="preserve"> </w:t>
      </w:r>
      <w:r>
        <w:t>– relační lexémy (často nazývané předložky) – pouze informace o umístění, ne o objektech (např. blízko) – určitý stupeň ikonicity – simultánní umístění rukou vůči sobě, mohou vyjádřit vztah mezi různými objekty, bez ohledu na jejich tvar nebo přesný prostorový vztah</w:t>
      </w:r>
    </w:p>
    <w:p w:rsidR="00006D6F" w:rsidRPr="00403F0D" w:rsidRDefault="00006D6F" w:rsidP="00D55E49">
      <w:pPr>
        <w:pStyle w:val="Odstavecseseznamem"/>
        <w:numPr>
          <w:ilvl w:val="0"/>
          <w:numId w:val="1"/>
        </w:numPr>
        <w:jc w:val="both"/>
        <w:rPr>
          <w:b/>
        </w:rPr>
      </w:pPr>
      <w:r>
        <w:t>v TID byl identifikován také prostředek NEXT-TO – natažené prsty (tvar V) reprezentují počet objektů – neikonické mapování</w:t>
      </w:r>
    </w:p>
    <w:p w:rsidR="00403F0D" w:rsidRPr="00403F0D" w:rsidRDefault="00403F0D" w:rsidP="00D55E49">
      <w:pPr>
        <w:pStyle w:val="Odstavecseseznamem"/>
        <w:numPr>
          <w:ilvl w:val="0"/>
          <w:numId w:val="1"/>
        </w:numPr>
        <w:jc w:val="both"/>
        <w:rPr>
          <w:b/>
        </w:rPr>
      </w:pPr>
      <w:r w:rsidRPr="00403F0D">
        <w:rPr>
          <w:b/>
        </w:rPr>
        <w:t>lexikální znaky</w:t>
      </w:r>
      <w:r>
        <w:rPr>
          <w:b/>
        </w:rPr>
        <w:t xml:space="preserve"> </w:t>
      </w:r>
      <w:r>
        <w:t>(</w:t>
      </w:r>
      <w:proofErr w:type="spellStart"/>
      <w:r>
        <w:t>lexical</w:t>
      </w:r>
      <w:proofErr w:type="spellEnd"/>
      <w:r>
        <w:t xml:space="preserve"> </w:t>
      </w:r>
      <w:proofErr w:type="spellStart"/>
      <w:r>
        <w:t>signs</w:t>
      </w:r>
      <w:proofErr w:type="spellEnd"/>
      <w:r>
        <w:t xml:space="preserve">) – např. znak LOĎ můžeme umístit  prostoru (na rozdíl od citátové formy znaku) </w:t>
      </w:r>
    </w:p>
    <w:p w:rsidR="00403F0D" w:rsidRPr="00812F3D" w:rsidRDefault="00812F3D" w:rsidP="00D55E49">
      <w:pPr>
        <w:pStyle w:val="Odstavecseseznamem"/>
        <w:numPr>
          <w:ilvl w:val="0"/>
          <w:numId w:val="1"/>
        </w:numPr>
        <w:jc w:val="both"/>
        <w:rPr>
          <w:b/>
        </w:rPr>
      </w:pPr>
      <w:r>
        <w:t>v předchozích výzkumech TID se ukázalo, že simultánnost není tak často využívána</w:t>
      </w:r>
    </w:p>
    <w:p w:rsidR="00812F3D" w:rsidRDefault="00812F3D" w:rsidP="00812F3D">
      <w:pPr>
        <w:jc w:val="both"/>
      </w:pPr>
    </w:p>
    <w:p w:rsidR="00812F3D" w:rsidRPr="00B51376" w:rsidRDefault="00812F3D" w:rsidP="00812F3D">
      <w:pPr>
        <w:pStyle w:val="Odstavecseseznamem"/>
        <w:numPr>
          <w:ilvl w:val="0"/>
          <w:numId w:val="3"/>
        </w:numPr>
        <w:jc w:val="both"/>
        <w:rPr>
          <w:b/>
        </w:rPr>
      </w:pPr>
      <w:r w:rsidRPr="00B51376">
        <w:rPr>
          <w:b/>
        </w:rPr>
        <w:t>STUDIE</w:t>
      </w:r>
    </w:p>
    <w:p w:rsidR="00812F3D" w:rsidRDefault="00812F3D" w:rsidP="00812F3D">
      <w:r>
        <w:t>Vyjadřování prostorových vztahů různých objektů ve znakovém jazyce</w:t>
      </w:r>
    </w:p>
    <w:p w:rsidR="00812F3D" w:rsidRDefault="00812F3D" w:rsidP="005233A9">
      <w:pPr>
        <w:pStyle w:val="Odstavecseseznamem"/>
        <w:numPr>
          <w:ilvl w:val="0"/>
          <w:numId w:val="4"/>
        </w:numPr>
      </w:pPr>
      <w:proofErr w:type="spellStart"/>
      <w:r>
        <w:t>Entitiy</w:t>
      </w:r>
      <w:proofErr w:type="spellEnd"/>
      <w:r>
        <w:t xml:space="preserve"> </w:t>
      </w:r>
      <w:proofErr w:type="spellStart"/>
      <w:r>
        <w:t>representation</w:t>
      </w:r>
      <w:proofErr w:type="spellEnd"/>
      <w:r>
        <w:t xml:space="preserve"> – reprezentace/zobrazení  entity – tvar figury a/nebo povrchu (</w:t>
      </w:r>
      <w:proofErr w:type="spellStart"/>
      <w:r>
        <w:t>figure</w:t>
      </w:r>
      <w:proofErr w:type="spellEnd"/>
      <w:r>
        <w:t xml:space="preserve"> – </w:t>
      </w:r>
      <w:proofErr w:type="spellStart"/>
      <w:r>
        <w:t>ground</w:t>
      </w:r>
      <w:proofErr w:type="spellEnd"/>
      <w:r>
        <w:t>)</w:t>
      </w:r>
    </w:p>
    <w:p w:rsidR="00812F3D" w:rsidRDefault="00812F3D" w:rsidP="00783699">
      <w:pPr>
        <w:pStyle w:val="Odstavecseseznamem"/>
        <w:numPr>
          <w:ilvl w:val="0"/>
          <w:numId w:val="4"/>
        </w:numPr>
      </w:pPr>
      <w:proofErr w:type="spellStart"/>
      <w:r>
        <w:t>Location</w:t>
      </w:r>
      <w:proofErr w:type="spellEnd"/>
      <w:r>
        <w:t xml:space="preserve"> </w:t>
      </w:r>
      <w:proofErr w:type="spellStart"/>
      <w:r>
        <w:t>representation</w:t>
      </w:r>
      <w:proofErr w:type="spellEnd"/>
      <w:r>
        <w:t xml:space="preserve"> –  reprezentace/vyobrazení  umístění – vztah figury a/nebo objektu</w:t>
      </w:r>
    </w:p>
    <w:p w:rsidR="00812F3D" w:rsidRDefault="00812F3D" w:rsidP="00812F3D">
      <w:pPr>
        <w:pStyle w:val="Odstavecseseznamem"/>
        <w:numPr>
          <w:ilvl w:val="0"/>
          <w:numId w:val="4"/>
        </w:numPr>
      </w:pPr>
      <w:proofErr w:type="spellStart"/>
      <w:r>
        <w:t>Spatial</w:t>
      </w:r>
      <w:proofErr w:type="spellEnd"/>
      <w:r>
        <w:t xml:space="preserve"> </w:t>
      </w:r>
      <w:proofErr w:type="spellStart"/>
      <w:r>
        <w:t>relationship</w:t>
      </w:r>
      <w:proofErr w:type="spellEnd"/>
      <w:r>
        <w:t xml:space="preserve"> </w:t>
      </w:r>
      <w:proofErr w:type="spellStart"/>
      <w:r>
        <w:t>representation</w:t>
      </w:r>
      <w:proofErr w:type="spellEnd"/>
      <w:r>
        <w:t xml:space="preserve"> – reprezentace prostorových vztahů – simultánní nebo nesimultánní konstrukce, prostorové vztahy figury a/nebo povrchu </w:t>
      </w:r>
    </w:p>
    <w:p w:rsidR="00812F3D" w:rsidRDefault="00812F3D" w:rsidP="00812F3D">
      <w:pPr>
        <w:pStyle w:val="Odstavecseseznamem"/>
        <w:numPr>
          <w:ilvl w:val="0"/>
          <w:numId w:val="5"/>
        </w:numPr>
      </w:pPr>
      <w:r>
        <w:t>míra ikoničnosti</w:t>
      </w:r>
    </w:p>
    <w:p w:rsidR="00812F3D" w:rsidRDefault="00812F3D" w:rsidP="00812F3D">
      <w:r>
        <w:t>- původní studie porovnává německý (DGS) a turecký znakový jazyk (TID) – mají odlišné kořeny a vývoj, nebyly v přímém kontaktu, v obou zemích započalo vzdělávání na počátku 19. století, v obou zemích byly striktně užívány orální programy</w:t>
      </w:r>
    </w:p>
    <w:p w:rsidR="00812F3D" w:rsidRDefault="00812F3D" w:rsidP="00812F3D">
      <w:r>
        <w:t>Participanti výzkumu</w:t>
      </w:r>
    </w:p>
    <w:p w:rsidR="00812F3D" w:rsidRDefault="00812F3D" w:rsidP="00812F3D">
      <w:pPr>
        <w:pStyle w:val="Odstavecseseznamem"/>
        <w:numPr>
          <w:ilvl w:val="0"/>
          <w:numId w:val="5"/>
        </w:numPr>
      </w:pPr>
      <w:r>
        <w:t>12 párů znakující mluvčí – adresát pro každý ZJ</w:t>
      </w:r>
    </w:p>
    <w:p w:rsidR="00812F3D" w:rsidRDefault="00812F3D" w:rsidP="00812F3D">
      <w:pPr>
        <w:pStyle w:val="Odstavecseseznamem"/>
        <w:numPr>
          <w:ilvl w:val="0"/>
          <w:numId w:val="5"/>
        </w:numPr>
      </w:pPr>
      <w:r>
        <w:t>všichni považují ZJ za primární prostředek komunikace</w:t>
      </w:r>
    </w:p>
    <w:p w:rsidR="00812F3D" w:rsidRDefault="00812F3D" w:rsidP="00812F3D">
      <w:pPr>
        <w:pStyle w:val="Odstavecseseznamem"/>
        <w:numPr>
          <w:ilvl w:val="0"/>
          <w:numId w:val="5"/>
        </w:numPr>
      </w:pPr>
      <w:r>
        <w:t>věk osvojení ZJ</w:t>
      </w:r>
    </w:p>
    <w:tbl>
      <w:tblPr>
        <w:tblStyle w:val="Mkatabulky"/>
        <w:tblW w:w="0" w:type="auto"/>
        <w:tblLook w:val="04A0" w:firstRow="1" w:lastRow="0" w:firstColumn="1" w:lastColumn="0" w:noHBand="0" w:noVBand="1"/>
      </w:tblPr>
      <w:tblGrid>
        <w:gridCol w:w="1812"/>
        <w:gridCol w:w="1812"/>
        <w:gridCol w:w="1812"/>
        <w:gridCol w:w="1813"/>
        <w:gridCol w:w="1813"/>
      </w:tblGrid>
      <w:tr w:rsidR="00812F3D" w:rsidTr="0095799C">
        <w:tc>
          <w:tcPr>
            <w:tcW w:w="1812" w:type="dxa"/>
          </w:tcPr>
          <w:p w:rsidR="00812F3D" w:rsidRDefault="00812F3D" w:rsidP="0095799C">
            <w:r>
              <w:t>Věk osvojení ZJ</w:t>
            </w:r>
          </w:p>
        </w:tc>
        <w:tc>
          <w:tcPr>
            <w:tcW w:w="3624" w:type="dxa"/>
            <w:gridSpan w:val="2"/>
          </w:tcPr>
          <w:p w:rsidR="00812F3D" w:rsidRDefault="00812F3D" w:rsidP="0095799C">
            <w:pPr>
              <w:jc w:val="center"/>
            </w:pPr>
            <w:r>
              <w:t>DGS</w:t>
            </w:r>
          </w:p>
        </w:tc>
        <w:tc>
          <w:tcPr>
            <w:tcW w:w="3626" w:type="dxa"/>
            <w:gridSpan w:val="2"/>
          </w:tcPr>
          <w:p w:rsidR="00812F3D" w:rsidRDefault="00812F3D" w:rsidP="0095799C">
            <w:pPr>
              <w:jc w:val="center"/>
            </w:pPr>
            <w:r>
              <w:t>TID</w:t>
            </w:r>
          </w:p>
        </w:tc>
      </w:tr>
      <w:tr w:rsidR="00812F3D" w:rsidTr="0095799C">
        <w:tc>
          <w:tcPr>
            <w:tcW w:w="1812" w:type="dxa"/>
          </w:tcPr>
          <w:p w:rsidR="00812F3D" w:rsidRDefault="00812F3D" w:rsidP="0095799C"/>
        </w:tc>
        <w:tc>
          <w:tcPr>
            <w:tcW w:w="1812" w:type="dxa"/>
          </w:tcPr>
          <w:p w:rsidR="00812F3D" w:rsidRDefault="00812F3D" w:rsidP="0095799C">
            <w:r>
              <w:t>znakující</w:t>
            </w:r>
          </w:p>
        </w:tc>
        <w:tc>
          <w:tcPr>
            <w:tcW w:w="1812" w:type="dxa"/>
          </w:tcPr>
          <w:p w:rsidR="00812F3D" w:rsidRDefault="00812F3D" w:rsidP="0095799C">
            <w:r>
              <w:t>adresát</w:t>
            </w:r>
          </w:p>
        </w:tc>
        <w:tc>
          <w:tcPr>
            <w:tcW w:w="1813" w:type="dxa"/>
          </w:tcPr>
          <w:p w:rsidR="00812F3D" w:rsidRDefault="00812F3D" w:rsidP="0095799C">
            <w:r>
              <w:t>znakující</w:t>
            </w:r>
          </w:p>
        </w:tc>
        <w:tc>
          <w:tcPr>
            <w:tcW w:w="1813" w:type="dxa"/>
          </w:tcPr>
          <w:p w:rsidR="00812F3D" w:rsidRDefault="00812F3D" w:rsidP="0095799C">
            <w:r>
              <w:t>adresát</w:t>
            </w:r>
          </w:p>
        </w:tc>
      </w:tr>
      <w:tr w:rsidR="00812F3D" w:rsidTr="0095799C">
        <w:tc>
          <w:tcPr>
            <w:tcW w:w="1812" w:type="dxa"/>
          </w:tcPr>
          <w:p w:rsidR="00812F3D" w:rsidRDefault="00812F3D" w:rsidP="0095799C">
            <w:r>
              <w:t>Od narození</w:t>
            </w:r>
            <w:r>
              <w:rPr>
                <w:rFonts w:cstheme="minorHAnsi"/>
              </w:rPr>
              <w:t>* - 5</w:t>
            </w:r>
          </w:p>
        </w:tc>
        <w:tc>
          <w:tcPr>
            <w:tcW w:w="1812" w:type="dxa"/>
          </w:tcPr>
          <w:p w:rsidR="00812F3D" w:rsidRDefault="00812F3D" w:rsidP="0095799C">
            <w:r>
              <w:t>6</w:t>
            </w:r>
          </w:p>
        </w:tc>
        <w:tc>
          <w:tcPr>
            <w:tcW w:w="1812" w:type="dxa"/>
          </w:tcPr>
          <w:p w:rsidR="00812F3D" w:rsidRDefault="00812F3D" w:rsidP="0095799C">
            <w:r>
              <w:t>4</w:t>
            </w:r>
          </w:p>
        </w:tc>
        <w:tc>
          <w:tcPr>
            <w:tcW w:w="1813" w:type="dxa"/>
          </w:tcPr>
          <w:p w:rsidR="00812F3D" w:rsidRDefault="00812F3D" w:rsidP="0095799C">
            <w:r>
              <w:t>11</w:t>
            </w:r>
          </w:p>
        </w:tc>
        <w:tc>
          <w:tcPr>
            <w:tcW w:w="1813" w:type="dxa"/>
          </w:tcPr>
          <w:p w:rsidR="00812F3D" w:rsidRDefault="00812F3D" w:rsidP="0095799C">
            <w:r>
              <w:t>6</w:t>
            </w:r>
          </w:p>
        </w:tc>
      </w:tr>
      <w:tr w:rsidR="00812F3D" w:rsidTr="0095799C">
        <w:tc>
          <w:tcPr>
            <w:tcW w:w="1812" w:type="dxa"/>
          </w:tcPr>
          <w:p w:rsidR="00812F3D" w:rsidRDefault="00812F3D" w:rsidP="0095799C">
            <w:r>
              <w:t>5–9 let</w:t>
            </w:r>
          </w:p>
        </w:tc>
        <w:tc>
          <w:tcPr>
            <w:tcW w:w="1812" w:type="dxa"/>
          </w:tcPr>
          <w:p w:rsidR="00812F3D" w:rsidRDefault="00812F3D" w:rsidP="0095799C">
            <w:r>
              <w:t>5</w:t>
            </w:r>
          </w:p>
        </w:tc>
        <w:tc>
          <w:tcPr>
            <w:tcW w:w="1812" w:type="dxa"/>
          </w:tcPr>
          <w:p w:rsidR="00812F3D" w:rsidRDefault="00812F3D" w:rsidP="0095799C">
            <w:r>
              <w:t>8</w:t>
            </w:r>
          </w:p>
        </w:tc>
        <w:tc>
          <w:tcPr>
            <w:tcW w:w="1813" w:type="dxa"/>
          </w:tcPr>
          <w:p w:rsidR="00812F3D" w:rsidRDefault="00812F3D" w:rsidP="0095799C">
            <w:r>
              <w:t>1</w:t>
            </w:r>
          </w:p>
        </w:tc>
        <w:tc>
          <w:tcPr>
            <w:tcW w:w="1813" w:type="dxa"/>
          </w:tcPr>
          <w:p w:rsidR="00812F3D" w:rsidRDefault="00812F3D" w:rsidP="0095799C">
            <w:r>
              <w:t>6</w:t>
            </w:r>
          </w:p>
        </w:tc>
      </w:tr>
      <w:tr w:rsidR="00812F3D" w:rsidTr="0095799C">
        <w:tc>
          <w:tcPr>
            <w:tcW w:w="1812" w:type="dxa"/>
          </w:tcPr>
          <w:p w:rsidR="00812F3D" w:rsidRDefault="00812F3D" w:rsidP="0095799C">
            <w:r>
              <w:t>9–12 let</w:t>
            </w:r>
          </w:p>
        </w:tc>
        <w:tc>
          <w:tcPr>
            <w:tcW w:w="1812" w:type="dxa"/>
          </w:tcPr>
          <w:p w:rsidR="00812F3D" w:rsidRDefault="00812F3D" w:rsidP="0095799C">
            <w:r>
              <w:t>1</w:t>
            </w:r>
          </w:p>
        </w:tc>
        <w:tc>
          <w:tcPr>
            <w:tcW w:w="1812" w:type="dxa"/>
          </w:tcPr>
          <w:p w:rsidR="00812F3D" w:rsidRDefault="00812F3D" w:rsidP="0095799C"/>
        </w:tc>
        <w:tc>
          <w:tcPr>
            <w:tcW w:w="1813" w:type="dxa"/>
          </w:tcPr>
          <w:p w:rsidR="00812F3D" w:rsidRDefault="00812F3D" w:rsidP="0095799C"/>
        </w:tc>
        <w:tc>
          <w:tcPr>
            <w:tcW w:w="1813" w:type="dxa"/>
          </w:tcPr>
          <w:p w:rsidR="00812F3D" w:rsidRDefault="00812F3D" w:rsidP="0095799C"/>
        </w:tc>
      </w:tr>
    </w:tbl>
    <w:p w:rsidR="00812F3D" w:rsidRDefault="00812F3D" w:rsidP="00812F3D">
      <w:r>
        <w:rPr>
          <w:rFonts w:cstheme="minorHAnsi"/>
        </w:rPr>
        <w:t>* neslyšící děti neslyšících rodičů</w:t>
      </w:r>
    </w:p>
    <w:p w:rsidR="00812F3D" w:rsidRDefault="00812F3D" w:rsidP="00812F3D">
      <w:pPr>
        <w:pStyle w:val="Odstavecseseznamem"/>
        <w:numPr>
          <w:ilvl w:val="0"/>
          <w:numId w:val="5"/>
        </w:numPr>
      </w:pPr>
      <w:r>
        <w:t xml:space="preserve">věk a pohlaví participantů </w:t>
      </w:r>
    </w:p>
    <w:tbl>
      <w:tblPr>
        <w:tblStyle w:val="Mkatabulky"/>
        <w:tblW w:w="0" w:type="auto"/>
        <w:tblLook w:val="04A0" w:firstRow="1" w:lastRow="0" w:firstColumn="1" w:lastColumn="0" w:noHBand="0" w:noVBand="1"/>
      </w:tblPr>
      <w:tblGrid>
        <w:gridCol w:w="3020"/>
        <w:gridCol w:w="3021"/>
        <w:gridCol w:w="3021"/>
      </w:tblGrid>
      <w:tr w:rsidR="00812F3D" w:rsidTr="0095799C">
        <w:tc>
          <w:tcPr>
            <w:tcW w:w="3020" w:type="dxa"/>
          </w:tcPr>
          <w:p w:rsidR="00812F3D" w:rsidRDefault="00812F3D" w:rsidP="0095799C"/>
        </w:tc>
        <w:tc>
          <w:tcPr>
            <w:tcW w:w="3021" w:type="dxa"/>
          </w:tcPr>
          <w:p w:rsidR="00812F3D" w:rsidRDefault="00812F3D" w:rsidP="0095799C">
            <w:r>
              <w:t>DGS</w:t>
            </w:r>
          </w:p>
        </w:tc>
        <w:tc>
          <w:tcPr>
            <w:tcW w:w="3021" w:type="dxa"/>
          </w:tcPr>
          <w:p w:rsidR="00812F3D" w:rsidRDefault="00812F3D" w:rsidP="0095799C">
            <w:r>
              <w:t>TID</w:t>
            </w:r>
          </w:p>
        </w:tc>
      </w:tr>
      <w:tr w:rsidR="00812F3D" w:rsidTr="0095799C">
        <w:tc>
          <w:tcPr>
            <w:tcW w:w="3020" w:type="dxa"/>
          </w:tcPr>
          <w:p w:rsidR="00812F3D" w:rsidRDefault="00812F3D" w:rsidP="0095799C">
            <w:r>
              <w:t>Věk znakujících</w:t>
            </w:r>
          </w:p>
        </w:tc>
        <w:tc>
          <w:tcPr>
            <w:tcW w:w="3021" w:type="dxa"/>
          </w:tcPr>
          <w:p w:rsidR="00812F3D" w:rsidRDefault="00812F3D" w:rsidP="0095799C">
            <w:r>
              <w:t>18–36 let</w:t>
            </w:r>
          </w:p>
        </w:tc>
        <w:tc>
          <w:tcPr>
            <w:tcW w:w="3021" w:type="dxa"/>
          </w:tcPr>
          <w:p w:rsidR="00812F3D" w:rsidRDefault="00812F3D" w:rsidP="0095799C">
            <w:r>
              <w:t xml:space="preserve">20–45 </w:t>
            </w:r>
          </w:p>
        </w:tc>
      </w:tr>
      <w:tr w:rsidR="00812F3D" w:rsidTr="0095799C">
        <w:tc>
          <w:tcPr>
            <w:tcW w:w="3020" w:type="dxa"/>
          </w:tcPr>
          <w:p w:rsidR="00812F3D" w:rsidRDefault="00812F3D" w:rsidP="0095799C">
            <w:r>
              <w:t>Muži znakující</w:t>
            </w:r>
          </w:p>
        </w:tc>
        <w:tc>
          <w:tcPr>
            <w:tcW w:w="3021" w:type="dxa"/>
          </w:tcPr>
          <w:p w:rsidR="00812F3D" w:rsidRDefault="00812F3D" w:rsidP="0095799C">
            <w:r>
              <w:t>6</w:t>
            </w:r>
          </w:p>
        </w:tc>
        <w:tc>
          <w:tcPr>
            <w:tcW w:w="3021" w:type="dxa"/>
          </w:tcPr>
          <w:p w:rsidR="00812F3D" w:rsidRDefault="00812F3D" w:rsidP="0095799C">
            <w:r>
              <w:t>6</w:t>
            </w:r>
          </w:p>
        </w:tc>
      </w:tr>
      <w:tr w:rsidR="00812F3D" w:rsidTr="0095799C">
        <w:tc>
          <w:tcPr>
            <w:tcW w:w="3020" w:type="dxa"/>
          </w:tcPr>
          <w:p w:rsidR="00812F3D" w:rsidRDefault="00812F3D" w:rsidP="0095799C">
            <w:r>
              <w:t>Ženy znakující</w:t>
            </w:r>
          </w:p>
        </w:tc>
        <w:tc>
          <w:tcPr>
            <w:tcW w:w="3021" w:type="dxa"/>
          </w:tcPr>
          <w:p w:rsidR="00812F3D" w:rsidRDefault="00812F3D" w:rsidP="0095799C">
            <w:r>
              <w:t>6</w:t>
            </w:r>
          </w:p>
        </w:tc>
        <w:tc>
          <w:tcPr>
            <w:tcW w:w="3021" w:type="dxa"/>
          </w:tcPr>
          <w:p w:rsidR="00812F3D" w:rsidRDefault="00812F3D" w:rsidP="0095799C">
            <w:r>
              <w:t>6</w:t>
            </w:r>
          </w:p>
        </w:tc>
      </w:tr>
      <w:tr w:rsidR="00812F3D" w:rsidTr="0095799C">
        <w:tc>
          <w:tcPr>
            <w:tcW w:w="3020" w:type="dxa"/>
          </w:tcPr>
          <w:p w:rsidR="00812F3D" w:rsidRDefault="00812F3D" w:rsidP="0095799C"/>
        </w:tc>
        <w:tc>
          <w:tcPr>
            <w:tcW w:w="3021" w:type="dxa"/>
          </w:tcPr>
          <w:p w:rsidR="00812F3D" w:rsidRDefault="00812F3D" w:rsidP="0095799C"/>
        </w:tc>
        <w:tc>
          <w:tcPr>
            <w:tcW w:w="3021" w:type="dxa"/>
          </w:tcPr>
          <w:p w:rsidR="00812F3D" w:rsidRDefault="00812F3D" w:rsidP="0095799C"/>
        </w:tc>
      </w:tr>
      <w:tr w:rsidR="00812F3D" w:rsidTr="0095799C">
        <w:tc>
          <w:tcPr>
            <w:tcW w:w="3020" w:type="dxa"/>
          </w:tcPr>
          <w:p w:rsidR="00812F3D" w:rsidRDefault="00812F3D" w:rsidP="0095799C">
            <w:r>
              <w:t>Věk adresátů</w:t>
            </w:r>
          </w:p>
        </w:tc>
        <w:tc>
          <w:tcPr>
            <w:tcW w:w="3021" w:type="dxa"/>
          </w:tcPr>
          <w:p w:rsidR="00812F3D" w:rsidRDefault="00812F3D" w:rsidP="0095799C">
            <w:r>
              <w:t>17–40 let</w:t>
            </w:r>
          </w:p>
        </w:tc>
        <w:tc>
          <w:tcPr>
            <w:tcW w:w="3021" w:type="dxa"/>
          </w:tcPr>
          <w:p w:rsidR="00812F3D" w:rsidRDefault="00812F3D" w:rsidP="0095799C">
            <w:r>
              <w:t>21–49</w:t>
            </w:r>
          </w:p>
        </w:tc>
      </w:tr>
      <w:tr w:rsidR="00812F3D" w:rsidTr="0095799C">
        <w:tc>
          <w:tcPr>
            <w:tcW w:w="3020" w:type="dxa"/>
          </w:tcPr>
          <w:p w:rsidR="00812F3D" w:rsidRDefault="00812F3D" w:rsidP="0095799C">
            <w:r>
              <w:t>Muži adresáti</w:t>
            </w:r>
          </w:p>
        </w:tc>
        <w:tc>
          <w:tcPr>
            <w:tcW w:w="3021" w:type="dxa"/>
          </w:tcPr>
          <w:p w:rsidR="00812F3D" w:rsidRDefault="00812F3D" w:rsidP="0095799C">
            <w:r>
              <w:t>4</w:t>
            </w:r>
          </w:p>
        </w:tc>
        <w:tc>
          <w:tcPr>
            <w:tcW w:w="3021" w:type="dxa"/>
          </w:tcPr>
          <w:p w:rsidR="00812F3D" w:rsidRDefault="00812F3D" w:rsidP="0095799C">
            <w:r>
              <w:t>6</w:t>
            </w:r>
          </w:p>
        </w:tc>
      </w:tr>
      <w:tr w:rsidR="00812F3D" w:rsidTr="0095799C">
        <w:tc>
          <w:tcPr>
            <w:tcW w:w="3020" w:type="dxa"/>
          </w:tcPr>
          <w:p w:rsidR="00812F3D" w:rsidRDefault="00812F3D" w:rsidP="0095799C">
            <w:r>
              <w:t>Ženy adresáti</w:t>
            </w:r>
          </w:p>
        </w:tc>
        <w:tc>
          <w:tcPr>
            <w:tcW w:w="3021" w:type="dxa"/>
          </w:tcPr>
          <w:p w:rsidR="00812F3D" w:rsidRDefault="00812F3D" w:rsidP="0095799C">
            <w:r>
              <w:t>8</w:t>
            </w:r>
          </w:p>
        </w:tc>
        <w:tc>
          <w:tcPr>
            <w:tcW w:w="3021" w:type="dxa"/>
          </w:tcPr>
          <w:p w:rsidR="00812F3D" w:rsidRDefault="00812F3D" w:rsidP="0095799C">
            <w:r>
              <w:t>6</w:t>
            </w:r>
          </w:p>
        </w:tc>
      </w:tr>
    </w:tbl>
    <w:p w:rsidR="00812F3D" w:rsidRPr="00E016B3" w:rsidRDefault="00812F3D" w:rsidP="00812F3D">
      <w:pPr>
        <w:rPr>
          <w:sz w:val="16"/>
          <w:szCs w:val="16"/>
        </w:rPr>
      </w:pPr>
    </w:p>
    <w:p w:rsidR="00812F3D" w:rsidRDefault="00812F3D" w:rsidP="00812F3D">
      <w:proofErr w:type="spellStart"/>
      <w:r>
        <w:t>Elicitace</w:t>
      </w:r>
      <w:proofErr w:type="spellEnd"/>
    </w:p>
    <w:p w:rsidR="00812F3D" w:rsidRDefault="00812F3D" w:rsidP="00812F3D">
      <w:r>
        <w:t>Znakující má prezentaci na notebooku:</w:t>
      </w:r>
    </w:p>
    <w:p w:rsidR="00812F3D" w:rsidRDefault="00812F3D" w:rsidP="00812F3D">
      <w:pPr>
        <w:pStyle w:val="Odstavecseseznamem"/>
        <w:numPr>
          <w:ilvl w:val="0"/>
          <w:numId w:val="5"/>
        </w:numPr>
      </w:pPr>
      <w:r>
        <w:t xml:space="preserve">prohlédne si obrázek, </w:t>
      </w:r>
      <w:proofErr w:type="spellStart"/>
      <w:r>
        <w:t>překlapne</w:t>
      </w:r>
      <w:proofErr w:type="spellEnd"/>
      <w:r>
        <w:t xml:space="preserve"> na prázdnou stránku, popíše obrázek svému partnerovi</w:t>
      </w:r>
    </w:p>
    <w:p w:rsidR="00812F3D" w:rsidRDefault="00812F3D" w:rsidP="00812F3D">
      <w:r>
        <w:t xml:space="preserve">Adresát dostává postupně </w:t>
      </w:r>
      <w:proofErr w:type="spellStart"/>
      <w:r>
        <w:t>zalaminované</w:t>
      </w:r>
      <w:proofErr w:type="spellEnd"/>
      <w:r>
        <w:t xml:space="preserve"> papíry s nabídkou obrázků</w:t>
      </w:r>
    </w:p>
    <w:p w:rsidR="00812F3D" w:rsidRDefault="00812F3D" w:rsidP="00812F3D">
      <w:pPr>
        <w:pStyle w:val="Odstavecseseznamem"/>
        <w:numPr>
          <w:ilvl w:val="0"/>
          <w:numId w:val="5"/>
        </w:numPr>
      </w:pPr>
      <w:r>
        <w:t>shlédne popis znakujícího, papír má na klíně s obrázky směrem dolů</w:t>
      </w:r>
    </w:p>
    <w:p w:rsidR="00812F3D" w:rsidRDefault="00812F3D" w:rsidP="00812F3D">
      <w:pPr>
        <w:pStyle w:val="Odstavecseseznamem"/>
        <w:numPr>
          <w:ilvl w:val="0"/>
          <w:numId w:val="5"/>
        </w:numPr>
      </w:pPr>
      <w:r>
        <w:t>vybere popisovaný obrázek, pokud je ve výběru, nebo oznámí, že tam není</w:t>
      </w:r>
    </w:p>
    <w:p w:rsidR="00812F3D" w:rsidRDefault="00812F3D" w:rsidP="00812F3D">
      <w:r>
        <w:t>Natáčení</w:t>
      </w:r>
    </w:p>
    <w:p w:rsidR="00812F3D" w:rsidRDefault="00812F3D" w:rsidP="00812F3D">
      <w:pPr>
        <w:pStyle w:val="Odstavecseseznamem"/>
        <w:numPr>
          <w:ilvl w:val="0"/>
          <w:numId w:val="5"/>
        </w:numPr>
      </w:pPr>
      <w:r>
        <w:t>3 kamery: čelní pohled na znakujícího, čelní pohled na adresáta, pohled shora na oba</w:t>
      </w:r>
    </w:p>
    <w:p w:rsidR="00812F3D" w:rsidRDefault="00812F3D" w:rsidP="00812F3D">
      <w:r w:rsidRPr="006F3F26">
        <w:rPr>
          <w:b/>
        </w:rPr>
        <w:t xml:space="preserve">Anotace – </w:t>
      </w:r>
      <w:proofErr w:type="spellStart"/>
      <w:r w:rsidRPr="006F3F26">
        <w:rPr>
          <w:b/>
        </w:rPr>
        <w:t>Elan</w:t>
      </w:r>
      <w:proofErr w:type="spellEnd"/>
      <w:r>
        <w:t xml:space="preserve"> </w:t>
      </w:r>
      <w:r w:rsidR="00B51376">
        <w:t xml:space="preserve">– rodilými mluvčími a pokročilými znakujícími TID a DGS </w:t>
      </w:r>
      <w:r w:rsidR="006F3F26">
        <w:t xml:space="preserve">– popisovány byly plně lokativní vyjádření – explicitně zmiňující figuru a </w:t>
      </w:r>
      <w:proofErr w:type="spellStart"/>
      <w:r w:rsidR="006F3F26">
        <w:t>ground</w:t>
      </w:r>
      <w:proofErr w:type="spellEnd"/>
      <w:r w:rsidR="006F3F26">
        <w:t xml:space="preserve"> a kódující umístění objektů</w:t>
      </w:r>
    </w:p>
    <w:p w:rsidR="006F3F26" w:rsidRDefault="006F3F26" w:rsidP="006F3F26">
      <w:pPr>
        <w:pStyle w:val="Odstavecseseznamem"/>
        <w:numPr>
          <w:ilvl w:val="0"/>
          <w:numId w:val="5"/>
        </w:numPr>
        <w:tabs>
          <w:tab w:val="left" w:pos="284"/>
        </w:tabs>
        <w:ind w:left="0" w:firstLine="0"/>
      </w:pPr>
      <w:r>
        <w:t xml:space="preserve">Každý popis byl kódován pro určitý typ vyjadřování (klas., </w:t>
      </w:r>
      <w:proofErr w:type="spellStart"/>
      <w:r>
        <w:t>specif</w:t>
      </w:r>
      <w:proofErr w:type="spellEnd"/>
      <w:r>
        <w:t>., lexikální znak, relační lexém)  a dále byl specifikován s ohledem na sémantickou specifičnost zastoupení objektu a reprezentaci lokalizace/umístění</w:t>
      </w:r>
    </w:p>
    <w:p w:rsidR="006F3F26" w:rsidRDefault="00371FA5" w:rsidP="006F3F26">
      <w:pPr>
        <w:pStyle w:val="Odstavecseseznamem"/>
        <w:numPr>
          <w:ilvl w:val="0"/>
          <w:numId w:val="5"/>
        </w:numPr>
        <w:tabs>
          <w:tab w:val="left" w:pos="284"/>
        </w:tabs>
        <w:ind w:left="0" w:firstLine="0"/>
      </w:pPr>
      <w:r>
        <w:t xml:space="preserve">1. reprezentace </w:t>
      </w:r>
      <w:proofErr w:type="spellStart"/>
      <w:r>
        <w:t>entitity</w:t>
      </w:r>
      <w:proofErr w:type="spellEnd"/>
      <w:r>
        <w:t xml:space="preserve"> – vzhledem ke stupni sémantické specifičnosti, závisející na míře ikonicity: kolik informací bylo poskytnuto o objektu – specifická velikost, tvar a orientace – specifické formy vyjadřující rysy objektů (nepatrně odlišné variace stupňů ikonicity) nebo zcela nespecifické (obecné, neikonické). </w:t>
      </w:r>
    </w:p>
    <w:p w:rsidR="00371FA5" w:rsidRDefault="00371FA5" w:rsidP="004E035B">
      <w:pPr>
        <w:pStyle w:val="Odstavecseseznamem"/>
        <w:numPr>
          <w:ilvl w:val="0"/>
          <w:numId w:val="5"/>
        </w:numPr>
        <w:tabs>
          <w:tab w:val="left" w:pos="284"/>
        </w:tabs>
        <w:ind w:left="0" w:firstLine="0"/>
      </w:pPr>
      <w:r>
        <w:t>2. reprezentace lokace/umístění: vysoký stupeň ikonicity = přesné umístění objektů, více doprava, doleva, dodržení relativní vzdálenosti mezi objekty atd., nízká míra ikonicity = nevyužívá možností modality, soustředí se namísto toho např. na umístění entit vedle sebe, nikoliv na jejich vzdálenost od sebe atd.</w:t>
      </w:r>
    </w:p>
    <w:p w:rsidR="00371FA5" w:rsidRDefault="00371FA5" w:rsidP="004E035B">
      <w:pPr>
        <w:pStyle w:val="Odstavecseseznamem"/>
        <w:numPr>
          <w:ilvl w:val="0"/>
          <w:numId w:val="5"/>
        </w:numPr>
        <w:tabs>
          <w:tab w:val="left" w:pos="284"/>
        </w:tabs>
        <w:ind w:left="0" w:firstLine="0"/>
      </w:pPr>
      <w:r>
        <w:t xml:space="preserve">3. užití simultánních konstrukcí – pro kódování prostorových vztahů mezi objekty – </w:t>
      </w:r>
      <w:proofErr w:type="spellStart"/>
      <w:r>
        <w:t>unimanuální</w:t>
      </w:r>
      <w:proofErr w:type="spellEnd"/>
      <w:r>
        <w:t xml:space="preserve"> (např. objekty byly individuálně mapovány na jednotlivých prstech) a </w:t>
      </w:r>
      <w:proofErr w:type="spellStart"/>
      <w:r>
        <w:t>bimanuální</w:t>
      </w:r>
      <w:proofErr w:type="spellEnd"/>
      <w:r>
        <w:t xml:space="preserve"> </w:t>
      </w:r>
      <w:r w:rsidR="008F6550">
        <w:t xml:space="preserve"> (každá ruka reprezentuje jednoho referenta) – vysoce ikonická vyjádření x nízká míra ikonicity u nesimultánních vyjádření</w:t>
      </w:r>
    </w:p>
    <w:p w:rsidR="008F6550" w:rsidRDefault="008F6550" w:rsidP="008F6550">
      <w:pPr>
        <w:tabs>
          <w:tab w:val="left" w:pos="284"/>
        </w:tabs>
      </w:pPr>
    </w:p>
    <w:p w:rsidR="008F6550" w:rsidRDefault="008F6550" w:rsidP="008F6550">
      <w:pPr>
        <w:pStyle w:val="Odstavecseseznamem"/>
        <w:numPr>
          <w:ilvl w:val="0"/>
          <w:numId w:val="3"/>
        </w:numPr>
        <w:tabs>
          <w:tab w:val="left" w:pos="284"/>
        </w:tabs>
        <w:rPr>
          <w:b/>
        </w:rPr>
      </w:pPr>
      <w:r w:rsidRPr="008F6550">
        <w:rPr>
          <w:b/>
        </w:rPr>
        <w:t>VÝSLEDKY</w:t>
      </w:r>
    </w:p>
    <w:p w:rsidR="000F684B" w:rsidRDefault="000F684B" w:rsidP="00406A24">
      <w:pPr>
        <w:pStyle w:val="Odstavecseseznamem"/>
        <w:numPr>
          <w:ilvl w:val="0"/>
          <w:numId w:val="1"/>
        </w:numPr>
        <w:jc w:val="both"/>
      </w:pPr>
      <w:r>
        <w:t>kvalitativní analýz</w:t>
      </w:r>
      <w:r w:rsidR="003A178A">
        <w:t>a</w:t>
      </w:r>
      <w:r>
        <w:t>: formální kategorie, které byly nalezeny</w:t>
      </w:r>
    </w:p>
    <w:p w:rsidR="000F684B" w:rsidRDefault="000F684B" w:rsidP="00406A24">
      <w:pPr>
        <w:pStyle w:val="Odstavecseseznamem"/>
        <w:numPr>
          <w:ilvl w:val="0"/>
          <w:numId w:val="1"/>
        </w:numPr>
        <w:jc w:val="both"/>
      </w:pPr>
      <w:r>
        <w:t>kvantitativní analýza: porovnání jejich frekvence a distribuce</w:t>
      </w:r>
    </w:p>
    <w:p w:rsidR="00470121" w:rsidRDefault="00470121" w:rsidP="00406A24">
      <w:pPr>
        <w:pStyle w:val="Odstavecseseznamem"/>
        <w:numPr>
          <w:ilvl w:val="0"/>
          <w:numId w:val="1"/>
        </w:numPr>
        <w:jc w:val="both"/>
      </w:pPr>
    </w:p>
    <w:p w:rsidR="000F684B" w:rsidRPr="00470121" w:rsidRDefault="00E724FE" w:rsidP="00470121">
      <w:pPr>
        <w:jc w:val="both"/>
        <w:rPr>
          <w:b/>
        </w:rPr>
      </w:pPr>
      <w:r w:rsidRPr="00470121">
        <w:rPr>
          <w:b/>
        </w:rPr>
        <w:t>4.1 TYP A SÉMANTICKÁ SPECIFI</w:t>
      </w:r>
      <w:r w:rsidR="00470121">
        <w:rPr>
          <w:b/>
        </w:rPr>
        <w:t>Č</w:t>
      </w:r>
      <w:r w:rsidRPr="00470121">
        <w:rPr>
          <w:b/>
        </w:rPr>
        <w:t>NOST ZOBRAZOVÁNÍ/REPREZENTACE ENTIT</w:t>
      </w:r>
    </w:p>
    <w:p w:rsidR="00E724FE" w:rsidRDefault="004E035B" w:rsidP="00406A24">
      <w:pPr>
        <w:pStyle w:val="Odstavecseseznamem"/>
        <w:numPr>
          <w:ilvl w:val="0"/>
          <w:numId w:val="1"/>
        </w:numPr>
        <w:jc w:val="both"/>
      </w:pPr>
      <w:r>
        <w:t>nejprve byla věnována pozornost vyjadřování figury při lokalizaci</w:t>
      </w:r>
    </w:p>
    <w:p w:rsidR="004E035B" w:rsidRDefault="004E035B" w:rsidP="00406A24">
      <w:pPr>
        <w:pStyle w:val="Odstavecseseznamem"/>
        <w:numPr>
          <w:ilvl w:val="0"/>
          <w:numId w:val="1"/>
        </w:numPr>
        <w:jc w:val="both"/>
      </w:pPr>
      <w:r>
        <w:lastRenderedPageBreak/>
        <w:t xml:space="preserve">byly </w:t>
      </w:r>
      <w:proofErr w:type="spellStart"/>
      <w:r>
        <w:t>indentifikovány</w:t>
      </w:r>
      <w:proofErr w:type="spellEnd"/>
      <w:r>
        <w:t xml:space="preserve"> podobné i odlišné prostředky v obou jazycích</w:t>
      </w:r>
    </w:p>
    <w:p w:rsidR="003A178A" w:rsidRDefault="003A178A" w:rsidP="003A178A">
      <w:pPr>
        <w:jc w:val="both"/>
      </w:pPr>
      <w:r>
        <w:t>KVALITATIVNÍ ANALÝZA</w:t>
      </w:r>
    </w:p>
    <w:p w:rsidR="004E035B" w:rsidRDefault="004E035B" w:rsidP="00406A24">
      <w:pPr>
        <w:pStyle w:val="Odstavecseseznamem"/>
        <w:numPr>
          <w:ilvl w:val="0"/>
          <w:numId w:val="1"/>
        </w:numPr>
        <w:jc w:val="both"/>
      </w:pPr>
      <w:r>
        <w:t>oba jazyky používají klasifikátory (KL) a specifikátory  (SP) v kombinaci s lokativními predikáty pro kódování lokalizace referenta</w:t>
      </w:r>
    </w:p>
    <w:p w:rsidR="004E035B" w:rsidRDefault="004E035B" w:rsidP="00406A24">
      <w:pPr>
        <w:pStyle w:val="Odstavecseseznamem"/>
        <w:numPr>
          <w:ilvl w:val="0"/>
          <w:numId w:val="1"/>
        </w:numPr>
        <w:jc w:val="both"/>
      </w:pPr>
      <w:r>
        <w:t>všechny KL a SP ikonicky reflektují vzhled -  velikost a/nebo tvar referenta a vykazují relativně velký stupeň sémantické specifičnosti s ohledem na reprezentaci entity</w:t>
      </w:r>
    </w:p>
    <w:p w:rsidR="004E035B" w:rsidRDefault="004E035B" w:rsidP="00406A24">
      <w:pPr>
        <w:pStyle w:val="Odstavecseseznamem"/>
        <w:numPr>
          <w:ilvl w:val="0"/>
          <w:numId w:val="1"/>
        </w:numPr>
        <w:jc w:val="both"/>
      </w:pPr>
      <w:r>
        <w:t xml:space="preserve">oba jazyky </w:t>
      </w:r>
      <w:r w:rsidR="002E3E9D">
        <w:t>užívaly</w:t>
      </w:r>
      <w:r w:rsidR="00406A24">
        <w:t xml:space="preserve"> lokalizaci prostřednictvím lexikálních znaků, tyto znaky byly zároveň určitým způsobem ikonické (ve vztahu k referentům)</w:t>
      </w:r>
    </w:p>
    <w:p w:rsidR="00406A24" w:rsidRDefault="00406A24" w:rsidP="00406A24">
      <w:pPr>
        <w:pStyle w:val="Odstavecseseznamem"/>
        <w:numPr>
          <w:ilvl w:val="0"/>
          <w:numId w:val="1"/>
        </w:numPr>
        <w:jc w:val="both"/>
      </w:pPr>
      <w:r>
        <w:t xml:space="preserve">dále oba jazyky používaly další lokativní prostředky, které neprojevují ikonickou podobnost představovaného objektu, tyto prostředky byly odlišné, ale byly užívány pro jakýkoliv objekt bez ohledu na jeho tvar, nazýváme je GENERIC </w:t>
      </w:r>
      <w:proofErr w:type="spellStart"/>
      <w:r>
        <w:t>devices</w:t>
      </w:r>
      <w:proofErr w:type="spellEnd"/>
      <w:r>
        <w:t xml:space="preserve"> – generické/obecné prostředky</w:t>
      </w:r>
    </w:p>
    <w:p w:rsidR="00406A24" w:rsidRDefault="00406A24" w:rsidP="0060135D">
      <w:pPr>
        <w:pStyle w:val="Odstavecseseznamem"/>
        <w:numPr>
          <w:ilvl w:val="1"/>
          <w:numId w:val="1"/>
        </w:numPr>
        <w:jc w:val="both"/>
      </w:pPr>
      <w:r>
        <w:t xml:space="preserve">V TID byl užíván prostředek – natažené prsty, které reprezentovaly jednotlivé referenty, a byly užívány v případě </w:t>
      </w:r>
      <w:r w:rsidR="0060135D">
        <w:t>umístění</w:t>
      </w:r>
      <w:r>
        <w:t xml:space="preserve"> vedle sebe (</w:t>
      </w:r>
      <w:proofErr w:type="spellStart"/>
      <w:r>
        <w:t>side</w:t>
      </w:r>
      <w:proofErr w:type="spellEnd"/>
      <w:r>
        <w:t>-by-</w:t>
      </w:r>
      <w:proofErr w:type="spellStart"/>
      <w:r>
        <w:t>side</w:t>
      </w:r>
      <w:proofErr w:type="spellEnd"/>
      <w:r>
        <w:t>)</w:t>
      </w:r>
      <w:r w:rsidR="0060135D">
        <w:t xml:space="preserve"> – např. tři natažené prsty pro tři talíře (tvar nekoresponduje s tvarem talířů)</w:t>
      </w:r>
    </w:p>
    <w:p w:rsidR="00406A24" w:rsidRDefault="0060135D" w:rsidP="0060135D">
      <w:pPr>
        <w:pStyle w:val="Odstavecseseznamem"/>
        <w:numPr>
          <w:ilvl w:val="1"/>
          <w:numId w:val="1"/>
        </w:numPr>
        <w:jc w:val="both"/>
      </w:pPr>
      <w:r>
        <w:t>V DGS nebyly  referenti reprezentováni na rukách – nejčastěji se jednalo o zobrazení čtyř lodí vedle sebe plochou rukou (vertikálně postavenou) – tento tvar není podobný tvaru lodi, je podobný lexému</w:t>
      </w:r>
      <w:r w:rsidR="002E3E9D">
        <w:t xml:space="preserve"> </w:t>
      </w:r>
      <w:proofErr w:type="spellStart"/>
      <w:r w:rsidR="002E3E9D">
        <w:t>next</w:t>
      </w:r>
      <w:proofErr w:type="spellEnd"/>
      <w:r w:rsidR="002E3E9D">
        <w:t>-to, který byl popsán dříve,</w:t>
      </w:r>
      <w:r>
        <w:t xml:space="preserve"> a objevoval se při popisu dvou stejných objektů umístěných vedle sebe (s mluvním komponentem </w:t>
      </w:r>
      <w:proofErr w:type="spellStart"/>
      <w:r w:rsidRPr="0060135D">
        <w:rPr>
          <w:i/>
        </w:rPr>
        <w:t>neben</w:t>
      </w:r>
      <w:proofErr w:type="spellEnd"/>
      <w:r w:rsidR="00DE6E8E">
        <w:t xml:space="preserve"> – ten se v tomto výzkumu neobjevoval</w:t>
      </w:r>
      <w:r>
        <w:t xml:space="preserve">) </w:t>
      </w:r>
    </w:p>
    <w:p w:rsidR="0060135D" w:rsidRDefault="00FB4A39" w:rsidP="0060135D">
      <w:pPr>
        <w:pStyle w:val="Odstavecseseznamem"/>
        <w:numPr>
          <w:ilvl w:val="0"/>
          <w:numId w:val="1"/>
        </w:numPr>
        <w:jc w:val="both"/>
      </w:pPr>
      <w:r>
        <w:t>o</w:t>
      </w:r>
      <w:r w:rsidR="00DE6E8E">
        <w:t xml:space="preserve">ba tyto prostředky vyjadřují vztah figur, pro vztah figura – </w:t>
      </w:r>
      <w:proofErr w:type="spellStart"/>
      <w:r w:rsidR="00DE6E8E">
        <w:t>ground</w:t>
      </w:r>
      <w:proofErr w:type="spellEnd"/>
      <w:r w:rsidR="00DE6E8E">
        <w:t xml:space="preserve"> jsme žádný takový prostředek nepozorovali</w:t>
      </w:r>
    </w:p>
    <w:p w:rsidR="00DE6E8E" w:rsidRDefault="00FB4A39" w:rsidP="00FB4A39">
      <w:pPr>
        <w:jc w:val="both"/>
      </w:pPr>
      <w:r>
        <w:rPr>
          <w:noProof/>
          <w:lang w:eastAsia="cs-CZ"/>
        </w:rPr>
        <w:drawing>
          <wp:inline distT="0" distB="0" distL="0" distR="0" wp14:anchorId="2E906D57" wp14:editId="60F1F117">
            <wp:extent cx="5749290" cy="2551757"/>
            <wp:effectExtent l="0" t="0" r="3810" b="127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849" t="34450" r="20503" b="17695"/>
                    <a:stretch/>
                  </pic:blipFill>
                  <pic:spPr bwMode="auto">
                    <a:xfrm>
                      <a:off x="0" y="0"/>
                      <a:ext cx="5759342" cy="2556219"/>
                    </a:xfrm>
                    <a:prstGeom prst="rect">
                      <a:avLst/>
                    </a:prstGeom>
                    <a:ln>
                      <a:noFill/>
                    </a:ln>
                    <a:extLst>
                      <a:ext uri="{53640926-AAD7-44D8-BBD7-CCE9431645EC}">
                        <a14:shadowObscured xmlns:a14="http://schemas.microsoft.com/office/drawing/2010/main"/>
                      </a:ext>
                    </a:extLst>
                  </pic:spPr>
                </pic:pic>
              </a:graphicData>
            </a:graphic>
          </wp:inline>
        </w:drawing>
      </w:r>
    </w:p>
    <w:p w:rsidR="00FB4A39" w:rsidRDefault="003A178A" w:rsidP="00FB4A39">
      <w:pPr>
        <w:jc w:val="both"/>
      </w:pPr>
      <w:r>
        <w:t>KVANTITATIVNÍ ANALÝZA</w:t>
      </w:r>
    </w:p>
    <w:p w:rsidR="003A178A" w:rsidRDefault="00080024" w:rsidP="00080024">
      <w:pPr>
        <w:pStyle w:val="Odstavecseseznamem"/>
        <w:numPr>
          <w:ilvl w:val="0"/>
          <w:numId w:val="1"/>
        </w:numPr>
        <w:jc w:val="both"/>
      </w:pPr>
      <w:r>
        <w:t>porovnání preferencí v užívání těchto odlišných prostředků</w:t>
      </w:r>
    </w:p>
    <w:p w:rsidR="00080024" w:rsidRDefault="00080024" w:rsidP="00080024">
      <w:pPr>
        <w:pStyle w:val="Odstavecseseznamem"/>
        <w:numPr>
          <w:ilvl w:val="0"/>
          <w:numId w:val="1"/>
        </w:numPr>
        <w:jc w:val="both"/>
      </w:pPr>
      <w:r>
        <w:t>celkem bylo 206 lokativních popisů pro DGS a 200 pro TID</w:t>
      </w:r>
    </w:p>
    <w:p w:rsidR="00080024" w:rsidRDefault="00080024" w:rsidP="00080024">
      <w:pPr>
        <w:pStyle w:val="Odstavecseseznamem"/>
        <w:numPr>
          <w:ilvl w:val="0"/>
          <w:numId w:val="1"/>
        </w:numPr>
        <w:jc w:val="both"/>
      </w:pPr>
      <w:r>
        <w:t>jeden popis mohl obsahovat užití více než jednoho prostorového prostředku/vyjádření</w:t>
      </w:r>
    </w:p>
    <w:p w:rsidR="003A178A" w:rsidRDefault="00080024" w:rsidP="00FB4A39">
      <w:pPr>
        <w:jc w:val="both"/>
      </w:pPr>
      <w:r>
        <w:rPr>
          <w:noProof/>
          <w:lang w:eastAsia="cs-CZ"/>
        </w:rPr>
        <w:lastRenderedPageBreak/>
        <w:drawing>
          <wp:inline distT="0" distB="0" distL="0" distR="0" wp14:anchorId="7E25A23A" wp14:editId="7CAE2A35">
            <wp:extent cx="5147310" cy="3347471"/>
            <wp:effectExtent l="0" t="0" r="0" b="571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693" t="24926" r="18916" b="6408"/>
                    <a:stretch/>
                  </pic:blipFill>
                  <pic:spPr bwMode="auto">
                    <a:xfrm>
                      <a:off x="0" y="0"/>
                      <a:ext cx="5151387" cy="3350122"/>
                    </a:xfrm>
                    <a:prstGeom prst="rect">
                      <a:avLst/>
                    </a:prstGeom>
                    <a:ln>
                      <a:noFill/>
                    </a:ln>
                    <a:extLst>
                      <a:ext uri="{53640926-AAD7-44D8-BBD7-CCE9431645EC}">
                        <a14:shadowObscured xmlns:a14="http://schemas.microsoft.com/office/drawing/2010/main"/>
                      </a:ext>
                    </a:extLst>
                  </pic:spPr>
                </pic:pic>
              </a:graphicData>
            </a:graphic>
          </wp:inline>
        </w:drawing>
      </w:r>
    </w:p>
    <w:p w:rsidR="00080024" w:rsidRDefault="00080024" w:rsidP="00080024">
      <w:pPr>
        <w:pStyle w:val="Odstavecseseznamem"/>
        <w:numPr>
          <w:ilvl w:val="0"/>
          <w:numId w:val="1"/>
        </w:numPr>
        <w:jc w:val="both"/>
      </w:pPr>
      <w:r>
        <w:t>použitá metoda ANOVA pro srovnání (</w:t>
      </w:r>
      <w:hyperlink r:id="rId11" w:history="1">
        <w:r w:rsidRPr="008B4DF2">
          <w:rPr>
            <w:rStyle w:val="Hypertextovodkaz"/>
          </w:rPr>
          <w:t>https://cs.wikipedia.org/wiki/Anal%C3%BDza_rozptylu</w:t>
        </w:r>
      </w:hyperlink>
      <w:r>
        <w:t>)</w:t>
      </w:r>
    </w:p>
    <w:p w:rsidR="00080024" w:rsidRDefault="00080024" w:rsidP="00080024">
      <w:pPr>
        <w:pStyle w:val="Odstavecseseznamem"/>
        <w:numPr>
          <w:ilvl w:val="0"/>
          <w:numId w:val="1"/>
        </w:numPr>
        <w:jc w:val="both"/>
      </w:pPr>
      <w:r>
        <w:t>oba jazyky nejvíce užívají KL</w:t>
      </w:r>
    </w:p>
    <w:p w:rsidR="00080024" w:rsidRDefault="00080024" w:rsidP="00080024">
      <w:pPr>
        <w:pStyle w:val="Odstavecseseznamem"/>
        <w:numPr>
          <w:ilvl w:val="0"/>
          <w:numId w:val="1"/>
        </w:numPr>
        <w:jc w:val="both"/>
      </w:pPr>
      <w:r>
        <w:t>SP jsou častěji užívány v DGS</w:t>
      </w:r>
    </w:p>
    <w:p w:rsidR="00080024" w:rsidRDefault="00080024" w:rsidP="00080024">
      <w:pPr>
        <w:pStyle w:val="Odstavecseseznamem"/>
        <w:numPr>
          <w:ilvl w:val="0"/>
          <w:numId w:val="1"/>
        </w:numPr>
        <w:jc w:val="both"/>
      </w:pPr>
      <w:r>
        <w:t>Přímá lokalizace lexikálních znaků je více užívána v</w:t>
      </w:r>
      <w:r w:rsidR="00470121">
        <w:t> </w:t>
      </w:r>
      <w:r>
        <w:t>TID</w:t>
      </w:r>
    </w:p>
    <w:p w:rsidR="00470121" w:rsidRDefault="00470121" w:rsidP="00080024">
      <w:pPr>
        <w:pStyle w:val="Odstavecseseznamem"/>
        <w:numPr>
          <w:ilvl w:val="0"/>
          <w:numId w:val="1"/>
        </w:numPr>
        <w:jc w:val="both"/>
      </w:pPr>
      <w:r>
        <w:t>Užití generických prostředků nebylo v DGS statisticky významné, ale bylo hojně užívané v TID</w:t>
      </w:r>
    </w:p>
    <w:p w:rsidR="00470121" w:rsidRDefault="00470121" w:rsidP="00080024">
      <w:pPr>
        <w:pStyle w:val="Odstavecseseznamem"/>
        <w:numPr>
          <w:ilvl w:val="0"/>
          <w:numId w:val="1"/>
        </w:numPr>
        <w:jc w:val="both"/>
      </w:pPr>
      <w:r>
        <w:t>V poslední kategorii jsou zařazeny různé jiné prostředky (např. znaky VLEVO, VPRAVO, UPROSTŘED ve dvou deskripcích DGS, v žádné TID), v celkovém součtu byly tyto prostředky více preferované než generické</w:t>
      </w:r>
    </w:p>
    <w:p w:rsidR="00406A24" w:rsidRDefault="00406A24" w:rsidP="00470121">
      <w:pPr>
        <w:tabs>
          <w:tab w:val="left" w:pos="284"/>
        </w:tabs>
      </w:pPr>
    </w:p>
    <w:p w:rsidR="00470121" w:rsidRDefault="00470121" w:rsidP="00470121">
      <w:pPr>
        <w:tabs>
          <w:tab w:val="left" w:pos="284"/>
        </w:tabs>
      </w:pPr>
      <w:r>
        <w:t>4. 2  SÉMANTICKÁ SPECIFIČNOST VYJADŘOVÁNÍ UMÍSTĚNÍ/LOKALIZACE</w:t>
      </w:r>
    </w:p>
    <w:p w:rsidR="00470121" w:rsidRDefault="00470121" w:rsidP="00470121">
      <w:pPr>
        <w:tabs>
          <w:tab w:val="left" w:pos="284"/>
        </w:tabs>
      </w:pPr>
      <w:r>
        <w:t xml:space="preserve">- generické prostředky užívané v DGS umožňují výběr umístění ve </w:t>
      </w:r>
      <w:proofErr w:type="spellStart"/>
      <w:r>
        <w:t>znakovacím</w:t>
      </w:r>
      <w:proofErr w:type="spellEnd"/>
      <w:r>
        <w:t xml:space="preserve"> prostoru, můžeme umístit každého referenta zvlášť, prostředek užívaný v TID toto neumožňuje – nemůžeme reprezentovat vzdálenost mezi objekty (artikulační omezení)  </w:t>
      </w:r>
    </w:p>
    <w:p w:rsidR="00406A24" w:rsidRDefault="00A66EFF" w:rsidP="004E035B">
      <w:pPr>
        <w:tabs>
          <w:tab w:val="left" w:pos="284"/>
        </w:tabs>
      </w:pPr>
      <w:r>
        <w:t>4. 3</w:t>
      </w:r>
      <w:r w:rsidR="00FB67D4">
        <w:t xml:space="preserve"> VYJADŘOVÁNÍ PROSTOROVÝCH VZTAHŮ</w:t>
      </w:r>
    </w:p>
    <w:p w:rsidR="00FB67D4" w:rsidRDefault="00FB67D4" w:rsidP="00FB67D4">
      <w:pPr>
        <w:pStyle w:val="Odstavecseseznamem"/>
        <w:numPr>
          <w:ilvl w:val="0"/>
          <w:numId w:val="1"/>
        </w:numPr>
        <w:jc w:val="both"/>
      </w:pPr>
      <w:r>
        <w:t xml:space="preserve">kdy a jak je využívána simultánní reprezentace prostorových vztahů jednak v uspořádání figura – </w:t>
      </w:r>
      <w:proofErr w:type="spellStart"/>
      <w:r>
        <w:t>ground</w:t>
      </w:r>
      <w:proofErr w:type="spellEnd"/>
      <w:r>
        <w:t>, jednak figura-figura</w:t>
      </w:r>
    </w:p>
    <w:p w:rsidR="00FB67D4" w:rsidRDefault="00FB67D4" w:rsidP="00FB67D4">
      <w:pPr>
        <w:pStyle w:val="Odstavecseseznamem"/>
        <w:numPr>
          <w:ilvl w:val="0"/>
          <w:numId w:val="1"/>
        </w:numPr>
        <w:jc w:val="both"/>
      </w:pPr>
      <w:r w:rsidRPr="000F6993">
        <w:rPr>
          <w:b/>
        </w:rPr>
        <w:t>vztah figura-</w:t>
      </w:r>
      <w:proofErr w:type="spellStart"/>
      <w:r w:rsidRPr="000F6993">
        <w:rPr>
          <w:b/>
        </w:rPr>
        <w:t>ground</w:t>
      </w:r>
      <w:proofErr w:type="spellEnd"/>
      <w:r>
        <w:t xml:space="preserve"> – obrázky s jedním objektem, celkem se v DGS objevilo 72 takových popisů, 63 v TID</w:t>
      </w:r>
    </w:p>
    <w:p w:rsidR="00FB67D4" w:rsidRDefault="00A66EFF" w:rsidP="00FB67D4">
      <w:pPr>
        <w:pStyle w:val="Odstavecseseznamem"/>
        <w:numPr>
          <w:ilvl w:val="0"/>
          <w:numId w:val="1"/>
        </w:numPr>
        <w:jc w:val="both"/>
      </w:pPr>
      <w:r>
        <w:t>v rozporu s očekáváním byl</w:t>
      </w:r>
      <w:r w:rsidR="00FB67D4">
        <w:t xml:space="preserve"> nalezen jen nízký podíl simultánních konstrukcí, jen s nepatrným rozdílem byly více užívány v TID, ale celkově nebyly moc frekventované</w:t>
      </w:r>
    </w:p>
    <w:p w:rsidR="00FB67D4" w:rsidRDefault="00FB67D4" w:rsidP="00FB67D4">
      <w:pPr>
        <w:pStyle w:val="Odstavecseseznamem"/>
        <w:numPr>
          <w:ilvl w:val="0"/>
          <w:numId w:val="1"/>
        </w:numPr>
        <w:jc w:val="both"/>
      </w:pPr>
      <w:r>
        <w:t>byly využívány nesimultánní reprezentace</w:t>
      </w:r>
      <w:r w:rsidR="00AE76C9">
        <w:t xml:space="preserve"> (obr. 7)</w:t>
      </w:r>
    </w:p>
    <w:p w:rsidR="00FB67D4" w:rsidRDefault="00AE76C9" w:rsidP="000F6993">
      <w:pPr>
        <w:tabs>
          <w:tab w:val="left" w:pos="284"/>
        </w:tabs>
        <w:jc w:val="both"/>
      </w:pPr>
      <w:r>
        <w:rPr>
          <w:noProof/>
          <w:lang w:eastAsia="cs-CZ"/>
        </w:rPr>
        <w:lastRenderedPageBreak/>
        <w:drawing>
          <wp:inline distT="0" distB="0" distL="0" distR="0" wp14:anchorId="5207974D" wp14:editId="14912BC8">
            <wp:extent cx="4911090" cy="1954015"/>
            <wp:effectExtent l="0" t="0" r="3810" b="825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595" t="53380" r="24537" b="11347"/>
                    <a:stretch/>
                  </pic:blipFill>
                  <pic:spPr bwMode="auto">
                    <a:xfrm>
                      <a:off x="0" y="0"/>
                      <a:ext cx="4920503" cy="1957760"/>
                    </a:xfrm>
                    <a:prstGeom prst="rect">
                      <a:avLst/>
                    </a:prstGeom>
                    <a:ln>
                      <a:noFill/>
                    </a:ln>
                    <a:extLst>
                      <a:ext uri="{53640926-AAD7-44D8-BBD7-CCE9431645EC}">
                        <a14:shadowObscured xmlns:a14="http://schemas.microsoft.com/office/drawing/2010/main"/>
                      </a:ext>
                    </a:extLst>
                  </pic:spPr>
                </pic:pic>
              </a:graphicData>
            </a:graphic>
          </wp:inline>
        </w:drawing>
      </w:r>
    </w:p>
    <w:p w:rsidR="00406A24" w:rsidRDefault="00406A24" w:rsidP="004E035B">
      <w:pPr>
        <w:tabs>
          <w:tab w:val="left" w:pos="284"/>
        </w:tabs>
      </w:pPr>
    </w:p>
    <w:p w:rsidR="004E035B" w:rsidRDefault="000F6993" w:rsidP="000F6993">
      <w:pPr>
        <w:pStyle w:val="Odstavecseseznamem"/>
        <w:numPr>
          <w:ilvl w:val="0"/>
          <w:numId w:val="1"/>
        </w:numPr>
        <w:jc w:val="both"/>
      </w:pPr>
      <w:r>
        <w:t xml:space="preserve">vztah </w:t>
      </w:r>
      <w:r w:rsidRPr="000F6993">
        <w:rPr>
          <w:b/>
        </w:rPr>
        <w:t>figura – figura</w:t>
      </w:r>
      <w:r>
        <w:t xml:space="preserve">  a využívání simultánnosti </w:t>
      </w:r>
      <w:r w:rsidR="009B4F6B">
        <w:t>– zkoumán na obrázcích s více objekty: 134 popisů pro DGS, 136 pro TID</w:t>
      </w:r>
    </w:p>
    <w:p w:rsidR="009B4F6B" w:rsidRDefault="009B4F6B" w:rsidP="000F6993">
      <w:pPr>
        <w:pStyle w:val="Odstavecseseznamem"/>
        <w:numPr>
          <w:ilvl w:val="0"/>
          <w:numId w:val="1"/>
        </w:numPr>
        <w:jc w:val="both"/>
      </w:pPr>
      <w:r>
        <w:t>v obou jazycích byla simultánní reprezentace využita asi v polovině případů, výskyt těchto případů byl překvapivě nízký oproti očekáváním</w:t>
      </w:r>
    </w:p>
    <w:p w:rsidR="009B4F6B" w:rsidRDefault="009B4F6B" w:rsidP="000F6993">
      <w:pPr>
        <w:pStyle w:val="Odstavecseseznamem"/>
        <w:numPr>
          <w:ilvl w:val="0"/>
          <w:numId w:val="1"/>
        </w:numPr>
        <w:jc w:val="both"/>
      </w:pPr>
      <w:r>
        <w:t xml:space="preserve">v tomto </w:t>
      </w:r>
      <w:proofErr w:type="gramStart"/>
      <w:r>
        <w:t>vyjadřovaní</w:t>
      </w:r>
      <w:proofErr w:type="gramEnd"/>
      <w:r>
        <w:t xml:space="preserve"> však byly nalezeny rozdíly mezi DGS a TID</w:t>
      </w:r>
      <w:r w:rsidR="00E14284">
        <w:t xml:space="preserve"> ve formě i sémantické specifičnosti</w:t>
      </w:r>
    </w:p>
    <w:p w:rsidR="00E14284" w:rsidRDefault="00E14284" w:rsidP="000F6993">
      <w:pPr>
        <w:pStyle w:val="Odstavecseseznamem"/>
        <w:numPr>
          <w:ilvl w:val="0"/>
          <w:numId w:val="1"/>
        </w:numPr>
        <w:jc w:val="both"/>
      </w:pPr>
      <w:proofErr w:type="spellStart"/>
      <w:r>
        <w:t>unimanuální</w:t>
      </w:r>
      <w:proofErr w:type="spellEnd"/>
      <w:r>
        <w:t xml:space="preserve">  užíváno více v  TID x </w:t>
      </w:r>
      <w:proofErr w:type="spellStart"/>
      <w:r>
        <w:t>bimanuální</w:t>
      </w:r>
      <w:proofErr w:type="spellEnd"/>
      <w:r>
        <w:t xml:space="preserve"> užíváno více v DGS pro vyjádření vztahu </w:t>
      </w:r>
      <w:proofErr w:type="spellStart"/>
      <w:r>
        <w:t>side</w:t>
      </w:r>
      <w:proofErr w:type="spellEnd"/>
      <w:r>
        <w:t>-by-</w:t>
      </w:r>
      <w:proofErr w:type="spellStart"/>
      <w:r>
        <w:t>side</w:t>
      </w:r>
      <w:proofErr w:type="spellEnd"/>
    </w:p>
    <w:p w:rsidR="00E14284" w:rsidRDefault="00E14284" w:rsidP="000F6993">
      <w:pPr>
        <w:pStyle w:val="Odstavecseseznamem"/>
        <w:numPr>
          <w:ilvl w:val="0"/>
          <w:numId w:val="1"/>
        </w:numPr>
        <w:jc w:val="both"/>
      </w:pPr>
      <w:r>
        <w:t xml:space="preserve">oba jazyky užívají </w:t>
      </w:r>
      <w:proofErr w:type="spellStart"/>
      <w:r>
        <w:t>bimanuální</w:t>
      </w:r>
      <w:proofErr w:type="spellEnd"/>
      <w:r>
        <w:t xml:space="preserve"> simultánní reprezentaci pro dva referenty postavené vedle sebe, každá ruka reprezentuje jeden objekt, v DGS se tato strategie užívá i pro více objektů = </w:t>
      </w:r>
      <w:proofErr w:type="spellStart"/>
      <w:r>
        <w:t>anchoring</w:t>
      </w:r>
      <w:proofErr w:type="spellEnd"/>
      <w:r>
        <w:t xml:space="preserve"> </w:t>
      </w:r>
      <w:proofErr w:type="spellStart"/>
      <w:r>
        <w:t>strategy</w:t>
      </w:r>
      <w:proofErr w:type="spellEnd"/>
      <w:r>
        <w:t xml:space="preserve"> („ukotvení“) – jedna ruka zůstává ukotvená na místě a další se hýbe, aby označila umístění dalších referentů x naproti tomu v TID se pro reprezentaci více jak dvou figur užívá </w:t>
      </w:r>
      <w:proofErr w:type="spellStart"/>
      <w:r>
        <w:t>unimanuální</w:t>
      </w:r>
      <w:proofErr w:type="spellEnd"/>
      <w:r>
        <w:t xml:space="preserve"> způsob reprezentace</w:t>
      </w:r>
      <w:r w:rsidR="000C2B98">
        <w:t xml:space="preserve"> (malé množství takových příkladů najdeme i v DGS, jedná se však o KL plurál např. pro tužky) </w:t>
      </w:r>
    </w:p>
    <w:p w:rsidR="00E45F9E" w:rsidRDefault="00E45F9E" w:rsidP="000F6993">
      <w:pPr>
        <w:pStyle w:val="Odstavecseseznamem"/>
        <w:numPr>
          <w:ilvl w:val="0"/>
          <w:numId w:val="1"/>
        </w:numPr>
        <w:jc w:val="both"/>
      </w:pPr>
      <w:proofErr w:type="spellStart"/>
      <w:r>
        <w:t>anchorická</w:t>
      </w:r>
      <w:proofErr w:type="spellEnd"/>
      <w:r>
        <w:t xml:space="preserve"> strategie i generické vyjádření užívané v DGS je vysoce ikonické, na rozdíl od </w:t>
      </w:r>
      <w:proofErr w:type="spellStart"/>
      <w:r>
        <w:t>unimanuálního</w:t>
      </w:r>
      <w:proofErr w:type="spellEnd"/>
      <w:r>
        <w:t xml:space="preserve"> vyjadřování a generického vyjadřování</w:t>
      </w:r>
      <w:r w:rsidR="00872F58">
        <w:t xml:space="preserve"> </w:t>
      </w:r>
      <w:r>
        <w:t>v TID, které neumožňuje  topografickou reprezentaci umístění předmětů – je abstraktnější</w:t>
      </w:r>
    </w:p>
    <w:p w:rsidR="00E45F9E" w:rsidRPr="00E45F9E" w:rsidRDefault="00E45F9E" w:rsidP="00E45F9E">
      <w:pPr>
        <w:jc w:val="both"/>
        <w:rPr>
          <w:b/>
        </w:rPr>
      </w:pPr>
      <w:r w:rsidRPr="00E45F9E">
        <w:rPr>
          <w:b/>
        </w:rPr>
        <w:t>5. SHRNUTÍ A DISKUSE</w:t>
      </w:r>
    </w:p>
    <w:p w:rsidR="00E45F9E" w:rsidRDefault="002A26B8" w:rsidP="002A26B8">
      <w:pPr>
        <w:pStyle w:val="Odstavecseseznamem"/>
        <w:numPr>
          <w:ilvl w:val="0"/>
          <w:numId w:val="1"/>
        </w:numPr>
        <w:jc w:val="both"/>
      </w:pPr>
      <w:r>
        <w:t>nebyla potvrzena podobnost/stejnost vyjadřování napříč znakovými jazyky (oproti předpokladům podložený</w:t>
      </w:r>
      <w:r w:rsidR="00A66EFF">
        <w:t xml:space="preserve">m </w:t>
      </w:r>
      <w:r>
        <w:t>jinými studiemi)</w:t>
      </w:r>
    </w:p>
    <w:p w:rsidR="002A26B8" w:rsidRDefault="002A26B8" w:rsidP="002A26B8">
      <w:pPr>
        <w:pStyle w:val="Odstavecseseznamem"/>
        <w:numPr>
          <w:ilvl w:val="0"/>
          <w:numId w:val="1"/>
        </w:numPr>
        <w:jc w:val="both"/>
      </w:pPr>
      <w:r>
        <w:t>mezi sledovanými jazyky byly nalezeny podobnosti, ale také kvalitativní a kvantitativní rozdíly</w:t>
      </w:r>
    </w:p>
    <w:p w:rsidR="002A26B8" w:rsidRDefault="002A26B8" w:rsidP="002A26B8">
      <w:pPr>
        <w:pStyle w:val="Odstavecseseznamem"/>
        <w:numPr>
          <w:ilvl w:val="0"/>
          <w:numId w:val="1"/>
        </w:numPr>
        <w:jc w:val="both"/>
      </w:pPr>
      <w:r>
        <w:t>oba užívají klasifikátorové predikáty, SP, lokalizaci prostřednictvím lexikálních znaků, ale rozdíl je v četnosti užití – TID častěji využívá lokalizaci prostřednictvím substantiv, ačkoliv i v DGS by z fonologického hlediska byly některé znaky použitelné pro tuto strategii</w:t>
      </w:r>
      <w:r w:rsidR="00F40BAC">
        <w:t xml:space="preserve"> (v budoucnu by mohlo být potvrzeno/vyvráceno podrobnější fonologickou analýzou)</w:t>
      </w:r>
    </w:p>
    <w:p w:rsidR="00F40BAC" w:rsidRDefault="00F40BAC" w:rsidP="002A26B8">
      <w:pPr>
        <w:pStyle w:val="Odstavecseseznamem"/>
        <w:numPr>
          <w:ilvl w:val="0"/>
          <w:numId w:val="1"/>
        </w:numPr>
        <w:jc w:val="both"/>
      </w:pPr>
      <w:r>
        <w:t>byly nalezeny specifické, neikonické prostředky k reprezentaci referentů (viz výše)</w:t>
      </w:r>
    </w:p>
    <w:p w:rsidR="00F40BAC" w:rsidRDefault="00F40BAC" w:rsidP="002A26B8">
      <w:pPr>
        <w:pStyle w:val="Odstavecseseznamem"/>
        <w:numPr>
          <w:ilvl w:val="0"/>
          <w:numId w:val="1"/>
        </w:numPr>
        <w:jc w:val="both"/>
      </w:pPr>
      <w:r>
        <w:t xml:space="preserve">nižší výskyt simultánních konstrukcí oproti očekávání – může to být dáno i tím, že v materiálu nebyl kontrastní vztahy (například nad a pod), nebo povahou </w:t>
      </w:r>
      <w:proofErr w:type="spellStart"/>
      <w:r>
        <w:t>ground</w:t>
      </w:r>
      <w:proofErr w:type="spellEnd"/>
      <w:r>
        <w:t xml:space="preserve"> v našem materiálu, který byl velkou plochou (louka, jezero)</w:t>
      </w:r>
    </w:p>
    <w:p w:rsidR="00F40BAC" w:rsidRDefault="00F40BAC" w:rsidP="002A26B8">
      <w:pPr>
        <w:pStyle w:val="Odstavecseseznamem"/>
        <w:numPr>
          <w:ilvl w:val="0"/>
          <w:numId w:val="1"/>
        </w:numPr>
        <w:jc w:val="both"/>
      </w:pPr>
      <w:r>
        <w:t xml:space="preserve">simultánnost byla více využita u </w:t>
      </w:r>
      <w:proofErr w:type="spellStart"/>
      <w:r>
        <w:t>figure-figure</w:t>
      </w:r>
      <w:proofErr w:type="spellEnd"/>
      <w:r>
        <w:t xml:space="preserve"> vztahu, ale také jen v polovině případů</w:t>
      </w:r>
    </w:p>
    <w:p w:rsidR="00F40BAC" w:rsidRDefault="00F40BAC" w:rsidP="002A26B8">
      <w:pPr>
        <w:pStyle w:val="Odstavecseseznamem"/>
        <w:numPr>
          <w:ilvl w:val="0"/>
          <w:numId w:val="1"/>
        </w:numPr>
        <w:jc w:val="both"/>
      </w:pPr>
      <w:r>
        <w:t xml:space="preserve">rozdíl v užití </w:t>
      </w:r>
      <w:proofErr w:type="spellStart"/>
      <w:r>
        <w:t>bimanuálních</w:t>
      </w:r>
      <w:proofErr w:type="spellEnd"/>
      <w:r>
        <w:t xml:space="preserve"> (</w:t>
      </w:r>
      <w:proofErr w:type="spellStart"/>
      <w:r>
        <w:t>anchorická</w:t>
      </w:r>
      <w:proofErr w:type="spellEnd"/>
      <w:r>
        <w:t xml:space="preserve"> strategie v DGS) a </w:t>
      </w:r>
      <w:proofErr w:type="spellStart"/>
      <w:r>
        <w:t>unimanuálních</w:t>
      </w:r>
      <w:proofErr w:type="spellEnd"/>
      <w:r>
        <w:t xml:space="preserve"> strategií pro více než dva objekty</w:t>
      </w:r>
    </w:p>
    <w:p w:rsidR="00872F58" w:rsidRDefault="00A66EFF" w:rsidP="002A26B8">
      <w:pPr>
        <w:pStyle w:val="Odstavecseseznamem"/>
        <w:numPr>
          <w:ilvl w:val="0"/>
          <w:numId w:val="1"/>
        </w:numPr>
        <w:jc w:val="both"/>
      </w:pPr>
      <w:r>
        <w:t>ve ZJ nebyl</w:t>
      </w:r>
      <w:r w:rsidR="00872F58">
        <w:t xml:space="preserve"> nalezen žádný prostředek, který by prokazoval plnou arbitrárnost</w:t>
      </w:r>
    </w:p>
    <w:p w:rsidR="00872F58" w:rsidRDefault="00872F58" w:rsidP="002A26B8">
      <w:pPr>
        <w:pStyle w:val="Odstavecseseznamem"/>
        <w:numPr>
          <w:ilvl w:val="0"/>
          <w:numId w:val="1"/>
        </w:numPr>
        <w:jc w:val="both"/>
      </w:pPr>
      <w:r>
        <w:t>simultánnost se málo užívala pro vyjádření vztahu figura-</w:t>
      </w:r>
      <w:proofErr w:type="spellStart"/>
      <w:r>
        <w:t>ground</w:t>
      </w:r>
      <w:proofErr w:type="spellEnd"/>
      <w:r>
        <w:t xml:space="preserve"> </w:t>
      </w:r>
    </w:p>
    <w:p w:rsidR="00872F58" w:rsidRPr="000F684B" w:rsidRDefault="00872F58" w:rsidP="002A26B8">
      <w:pPr>
        <w:pStyle w:val="Odstavecseseznamem"/>
        <w:numPr>
          <w:ilvl w:val="0"/>
          <w:numId w:val="1"/>
        </w:numPr>
        <w:jc w:val="both"/>
      </w:pPr>
      <w:r>
        <w:t xml:space="preserve">pro vyjadřování prostorových vztahů mohou být užívány jak sémanticky specifické/konkrétní struktury, tak obecněji lingvistické formy – kontinuum </w:t>
      </w:r>
      <w:r w:rsidR="00A66EFF">
        <w:t>mezi těmito prostředky</w:t>
      </w:r>
      <w:bookmarkStart w:id="0" w:name="_GoBack"/>
      <w:bookmarkEnd w:id="0"/>
    </w:p>
    <w:p w:rsidR="00D41DA5" w:rsidRDefault="00D41DA5" w:rsidP="00D41DA5">
      <w:pPr>
        <w:pStyle w:val="Odstavecseseznamem"/>
        <w:numPr>
          <w:ilvl w:val="0"/>
          <w:numId w:val="1"/>
        </w:numPr>
      </w:pPr>
      <w:proofErr w:type="spellStart"/>
      <w:r>
        <w:lastRenderedPageBreak/>
        <w:t>Perniss</w:t>
      </w:r>
      <w:proofErr w:type="spellEnd"/>
      <w:r>
        <w:t xml:space="preserve">, P. M., </w:t>
      </w:r>
      <w:proofErr w:type="spellStart"/>
      <w:r>
        <w:t>Zwitserlood</w:t>
      </w:r>
      <w:proofErr w:type="spellEnd"/>
      <w:r>
        <w:t xml:space="preserve">, I., &amp; </w:t>
      </w:r>
      <w:proofErr w:type="spellStart"/>
      <w:r>
        <w:t>Ozyurek</w:t>
      </w:r>
      <w:proofErr w:type="spellEnd"/>
      <w:r>
        <w:t xml:space="preserve">, A. </w:t>
      </w:r>
      <w:r>
        <w:rPr>
          <w:rStyle w:val="displaydatestatus"/>
        </w:rPr>
        <w:t>(2011).</w:t>
      </w:r>
      <w:r>
        <w:t xml:space="preserve"> </w:t>
      </w:r>
      <w:proofErr w:type="spellStart"/>
      <w:r>
        <w:t>Does</w:t>
      </w:r>
      <w:proofErr w:type="spellEnd"/>
      <w:r>
        <w:t xml:space="preserve"> </w:t>
      </w:r>
      <w:proofErr w:type="spellStart"/>
      <w:r>
        <w:t>space</w:t>
      </w:r>
      <w:proofErr w:type="spellEnd"/>
      <w:r>
        <w:t xml:space="preserve"> </w:t>
      </w:r>
      <w:proofErr w:type="spellStart"/>
      <w:r>
        <w:t>structure</w:t>
      </w:r>
      <w:proofErr w:type="spellEnd"/>
      <w:r>
        <w:t xml:space="preserve"> </w:t>
      </w:r>
      <w:proofErr w:type="spellStart"/>
      <w:r>
        <w:t>spatial</w:t>
      </w:r>
      <w:proofErr w:type="spellEnd"/>
      <w:r>
        <w:t xml:space="preserve"> </w:t>
      </w:r>
      <w:proofErr w:type="spellStart"/>
      <w:r>
        <w:t>language</w:t>
      </w:r>
      <w:proofErr w:type="spellEnd"/>
      <w:r>
        <w:t xml:space="preserve">? </w:t>
      </w:r>
      <w:proofErr w:type="spellStart"/>
      <w:r>
        <w:t>Linguistic</w:t>
      </w:r>
      <w:proofErr w:type="spellEnd"/>
      <w:r>
        <w:t xml:space="preserve"> </w:t>
      </w:r>
      <w:proofErr w:type="spellStart"/>
      <w:r>
        <w:t>encoding</w:t>
      </w:r>
      <w:proofErr w:type="spellEnd"/>
      <w:r>
        <w:t xml:space="preserve"> </w:t>
      </w:r>
      <w:proofErr w:type="spellStart"/>
      <w:r>
        <w:t>of</w:t>
      </w:r>
      <w:proofErr w:type="spellEnd"/>
      <w:r>
        <w:t xml:space="preserve"> </w:t>
      </w:r>
      <w:proofErr w:type="spellStart"/>
      <w:r>
        <w:t>space</w:t>
      </w:r>
      <w:proofErr w:type="spellEnd"/>
      <w:r>
        <w:t xml:space="preserve"> in sign </w:t>
      </w:r>
      <w:proofErr w:type="spellStart"/>
      <w:r>
        <w:t>languages</w:t>
      </w:r>
      <w:proofErr w:type="spellEnd"/>
      <w:r>
        <w:t xml:space="preserve">. In L. </w:t>
      </w:r>
      <w:proofErr w:type="spellStart"/>
      <w:r>
        <w:t>Carlson</w:t>
      </w:r>
      <w:proofErr w:type="spellEnd"/>
      <w:r>
        <w:t xml:space="preserve">, C. </w:t>
      </w:r>
      <w:proofErr w:type="spellStart"/>
      <w:r>
        <w:t>Holscher</w:t>
      </w:r>
      <w:proofErr w:type="spellEnd"/>
      <w:r>
        <w:t xml:space="preserve">, &amp; T. </w:t>
      </w:r>
      <w:proofErr w:type="spellStart"/>
      <w:r>
        <w:t>Shipley</w:t>
      </w:r>
      <w:proofErr w:type="spellEnd"/>
      <w:r>
        <w:t xml:space="preserve"> (</w:t>
      </w:r>
      <w:proofErr w:type="spellStart"/>
      <w:r>
        <w:t>Eds</w:t>
      </w:r>
      <w:proofErr w:type="spellEnd"/>
      <w:r>
        <w:t xml:space="preserve">.), </w:t>
      </w:r>
      <w:proofErr w:type="spellStart"/>
      <w:r>
        <w:rPr>
          <w:rStyle w:val="italic"/>
        </w:rPr>
        <w:t>Proceedings</w:t>
      </w:r>
      <w:proofErr w:type="spellEnd"/>
      <w:r>
        <w:rPr>
          <w:rStyle w:val="italic"/>
        </w:rPr>
        <w:t xml:space="preserve"> </w:t>
      </w:r>
      <w:proofErr w:type="spellStart"/>
      <w:r>
        <w:rPr>
          <w:rStyle w:val="italic"/>
        </w:rPr>
        <w:t>of</w:t>
      </w:r>
      <w:proofErr w:type="spellEnd"/>
      <w:r>
        <w:rPr>
          <w:rStyle w:val="italic"/>
        </w:rPr>
        <w:t xml:space="preserve"> </w:t>
      </w:r>
      <w:proofErr w:type="spellStart"/>
      <w:r>
        <w:rPr>
          <w:rStyle w:val="italic"/>
        </w:rPr>
        <w:t>the</w:t>
      </w:r>
      <w:proofErr w:type="spellEnd"/>
      <w:r>
        <w:rPr>
          <w:rStyle w:val="italic"/>
        </w:rPr>
        <w:t xml:space="preserve"> 33rd </w:t>
      </w:r>
      <w:proofErr w:type="spellStart"/>
      <w:r>
        <w:rPr>
          <w:rStyle w:val="italic"/>
        </w:rPr>
        <w:t>Annual</w:t>
      </w:r>
      <w:proofErr w:type="spellEnd"/>
      <w:r>
        <w:rPr>
          <w:rStyle w:val="italic"/>
        </w:rPr>
        <w:t xml:space="preserve"> Meeting </w:t>
      </w:r>
      <w:proofErr w:type="spellStart"/>
      <w:r>
        <w:rPr>
          <w:rStyle w:val="italic"/>
        </w:rPr>
        <w:t>of</w:t>
      </w:r>
      <w:proofErr w:type="spellEnd"/>
      <w:r>
        <w:rPr>
          <w:rStyle w:val="italic"/>
        </w:rPr>
        <w:t xml:space="preserve"> </w:t>
      </w:r>
      <w:proofErr w:type="spellStart"/>
      <w:r>
        <w:rPr>
          <w:rStyle w:val="italic"/>
        </w:rPr>
        <w:t>the</w:t>
      </w:r>
      <w:proofErr w:type="spellEnd"/>
      <w:r>
        <w:rPr>
          <w:rStyle w:val="italic"/>
        </w:rPr>
        <w:t xml:space="preserve"> </w:t>
      </w:r>
      <w:proofErr w:type="spellStart"/>
      <w:r>
        <w:rPr>
          <w:rStyle w:val="italic"/>
        </w:rPr>
        <w:t>Cognitive</w:t>
      </w:r>
      <w:proofErr w:type="spellEnd"/>
      <w:r>
        <w:rPr>
          <w:rStyle w:val="italic"/>
        </w:rPr>
        <w:t xml:space="preserve"> Science Society</w:t>
      </w:r>
      <w:r>
        <w:t xml:space="preserve"> (pp. 1595-1600). Austin, TX: </w:t>
      </w:r>
      <w:proofErr w:type="spellStart"/>
      <w:r>
        <w:t>Cognitive</w:t>
      </w:r>
      <w:proofErr w:type="spellEnd"/>
      <w:r>
        <w:t xml:space="preserve"> Science Society.</w:t>
      </w:r>
    </w:p>
    <w:p w:rsidR="00D41DA5" w:rsidRDefault="00AB2817" w:rsidP="00D41DA5">
      <w:pPr>
        <w:pStyle w:val="Odstavecseseznamem"/>
        <w:numPr>
          <w:ilvl w:val="0"/>
          <w:numId w:val="1"/>
        </w:numPr>
      </w:pPr>
      <w:hyperlink r:id="rId13" w:history="1">
        <w:r w:rsidR="00D41DA5" w:rsidRPr="008B4DF2">
          <w:rPr>
            <w:rStyle w:val="Hypertextovodkaz"/>
          </w:rPr>
          <w:t>http://pubman.mpdl.mpg.de/pubman/item/escidoc:898645:9/component/escidoc:1048579/Perniss_2011_does.pdf</w:t>
        </w:r>
      </w:hyperlink>
    </w:p>
    <w:p w:rsidR="00812F3D" w:rsidRPr="00812F3D" w:rsidRDefault="00812F3D" w:rsidP="00812F3D">
      <w:pPr>
        <w:jc w:val="both"/>
      </w:pPr>
    </w:p>
    <w:sectPr w:rsidR="00812F3D" w:rsidRPr="00812F3D">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2817" w:rsidRDefault="00AB2817" w:rsidP="00B51376">
      <w:pPr>
        <w:spacing w:after="0" w:line="240" w:lineRule="auto"/>
      </w:pPr>
      <w:r>
        <w:separator/>
      </w:r>
    </w:p>
  </w:endnote>
  <w:endnote w:type="continuationSeparator" w:id="0">
    <w:p w:rsidR="00AB2817" w:rsidRDefault="00AB2817" w:rsidP="00B513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1172776"/>
      <w:docPartObj>
        <w:docPartGallery w:val="Page Numbers (Bottom of Page)"/>
        <w:docPartUnique/>
      </w:docPartObj>
    </w:sdtPr>
    <w:sdtEndPr/>
    <w:sdtContent>
      <w:p w:rsidR="00B51376" w:rsidRDefault="00B51376">
        <w:pPr>
          <w:pStyle w:val="Zpat"/>
          <w:jc w:val="right"/>
        </w:pPr>
        <w:r>
          <w:fldChar w:fldCharType="begin"/>
        </w:r>
        <w:r>
          <w:instrText>PAGE   \* MERGEFORMAT</w:instrText>
        </w:r>
        <w:r>
          <w:fldChar w:fldCharType="separate"/>
        </w:r>
        <w:r w:rsidR="00A66EFF">
          <w:rPr>
            <w:noProof/>
          </w:rPr>
          <w:t>7</w:t>
        </w:r>
        <w:r>
          <w:fldChar w:fldCharType="end"/>
        </w:r>
      </w:p>
    </w:sdtContent>
  </w:sdt>
  <w:p w:rsidR="00B51376" w:rsidRDefault="00B51376">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2817" w:rsidRDefault="00AB2817" w:rsidP="00B51376">
      <w:pPr>
        <w:spacing w:after="0" w:line="240" w:lineRule="auto"/>
      </w:pPr>
      <w:r>
        <w:separator/>
      </w:r>
    </w:p>
  </w:footnote>
  <w:footnote w:type="continuationSeparator" w:id="0">
    <w:p w:rsidR="00AB2817" w:rsidRDefault="00AB2817" w:rsidP="00B513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44DC3"/>
    <w:multiLevelType w:val="hybridMultilevel"/>
    <w:tmpl w:val="F24AB8D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2ADE4F64"/>
    <w:multiLevelType w:val="hybridMultilevel"/>
    <w:tmpl w:val="7A5A5D8A"/>
    <w:lvl w:ilvl="0" w:tplc="69FA358A">
      <w:numFmt w:val="bullet"/>
      <w:lvlText w:val="-"/>
      <w:lvlJc w:val="left"/>
      <w:pPr>
        <w:ind w:left="360" w:hanging="360"/>
      </w:pPr>
      <w:rPr>
        <w:rFonts w:ascii="Calibri" w:eastAsiaTheme="minorHAnsi" w:hAnsi="Calibri" w:cs="Calibri"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 w15:restartNumberingAfterBreak="0">
    <w:nsid w:val="45807854"/>
    <w:multiLevelType w:val="hybridMultilevel"/>
    <w:tmpl w:val="574C631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625D67F7"/>
    <w:multiLevelType w:val="hybridMultilevel"/>
    <w:tmpl w:val="FAE847D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6D8302E5"/>
    <w:multiLevelType w:val="hybridMultilevel"/>
    <w:tmpl w:val="A1501EB0"/>
    <w:lvl w:ilvl="0" w:tplc="BC72E1DE">
      <w:start w:val="1"/>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46A4"/>
    <w:rsid w:val="000018AD"/>
    <w:rsid w:val="00006D6F"/>
    <w:rsid w:val="00080024"/>
    <w:rsid w:val="000C2B98"/>
    <w:rsid w:val="000F684B"/>
    <w:rsid w:val="000F6993"/>
    <w:rsid w:val="00124DF4"/>
    <w:rsid w:val="00137462"/>
    <w:rsid w:val="00223FAA"/>
    <w:rsid w:val="002A26B8"/>
    <w:rsid w:val="002C76A2"/>
    <w:rsid w:val="002E3E9D"/>
    <w:rsid w:val="00371FA5"/>
    <w:rsid w:val="003A178A"/>
    <w:rsid w:val="00403F0D"/>
    <w:rsid w:val="00406A24"/>
    <w:rsid w:val="004246A4"/>
    <w:rsid w:val="00470121"/>
    <w:rsid w:val="004E035B"/>
    <w:rsid w:val="004E4D64"/>
    <w:rsid w:val="0060135D"/>
    <w:rsid w:val="006F3F26"/>
    <w:rsid w:val="00812F3D"/>
    <w:rsid w:val="00872F58"/>
    <w:rsid w:val="008F6550"/>
    <w:rsid w:val="009B4F6B"/>
    <w:rsid w:val="00A66EFF"/>
    <w:rsid w:val="00AB2817"/>
    <w:rsid w:val="00AE76C9"/>
    <w:rsid w:val="00B51376"/>
    <w:rsid w:val="00BE1770"/>
    <w:rsid w:val="00BF445B"/>
    <w:rsid w:val="00CC711E"/>
    <w:rsid w:val="00D41DA5"/>
    <w:rsid w:val="00D55E49"/>
    <w:rsid w:val="00DE6E8E"/>
    <w:rsid w:val="00E14284"/>
    <w:rsid w:val="00E45F9E"/>
    <w:rsid w:val="00E724FE"/>
    <w:rsid w:val="00F40BAC"/>
    <w:rsid w:val="00FB4A39"/>
    <w:rsid w:val="00FB67D4"/>
    <w:rsid w:val="00FD2A8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A90D9A"/>
  <w15:chartTrackingRefBased/>
  <w15:docId w15:val="{561FEFED-749A-4BE8-84AF-EAF6EFF64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displaydatestatus">
    <w:name w:val="displaydatestatus"/>
    <w:basedOn w:val="Standardnpsmoodstavce"/>
    <w:rsid w:val="00BF445B"/>
  </w:style>
  <w:style w:type="character" w:customStyle="1" w:styleId="italic">
    <w:name w:val="italic"/>
    <w:basedOn w:val="Standardnpsmoodstavce"/>
    <w:rsid w:val="00BF445B"/>
  </w:style>
  <w:style w:type="character" w:styleId="Hypertextovodkaz">
    <w:name w:val="Hyperlink"/>
    <w:basedOn w:val="Standardnpsmoodstavce"/>
    <w:uiPriority w:val="99"/>
    <w:unhideWhenUsed/>
    <w:rsid w:val="00BF445B"/>
    <w:rPr>
      <w:color w:val="0563C1" w:themeColor="hyperlink"/>
      <w:u w:val="single"/>
    </w:rPr>
  </w:style>
  <w:style w:type="paragraph" w:styleId="Odstavecseseznamem">
    <w:name w:val="List Paragraph"/>
    <w:basedOn w:val="Normln"/>
    <w:uiPriority w:val="34"/>
    <w:qFormat/>
    <w:rsid w:val="00BF445B"/>
    <w:pPr>
      <w:ind w:left="720"/>
      <w:contextualSpacing/>
    </w:pPr>
  </w:style>
  <w:style w:type="table" w:styleId="Mkatabulky">
    <w:name w:val="Table Grid"/>
    <w:basedOn w:val="Normlntabulka"/>
    <w:uiPriority w:val="39"/>
    <w:rsid w:val="00812F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B5137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51376"/>
  </w:style>
  <w:style w:type="paragraph" w:styleId="Zpat">
    <w:name w:val="footer"/>
    <w:basedOn w:val="Normln"/>
    <w:link w:val="ZpatChar"/>
    <w:uiPriority w:val="99"/>
    <w:unhideWhenUsed/>
    <w:rsid w:val="00B51376"/>
    <w:pPr>
      <w:tabs>
        <w:tab w:val="center" w:pos="4536"/>
        <w:tab w:val="right" w:pos="9072"/>
      </w:tabs>
      <w:spacing w:after="0" w:line="240" w:lineRule="auto"/>
    </w:pPr>
  </w:style>
  <w:style w:type="character" w:customStyle="1" w:styleId="ZpatChar">
    <w:name w:val="Zápatí Char"/>
    <w:basedOn w:val="Standardnpsmoodstavce"/>
    <w:link w:val="Zpat"/>
    <w:uiPriority w:val="99"/>
    <w:rsid w:val="00B51376"/>
  </w:style>
  <w:style w:type="paragraph" w:styleId="Textpoznpodarou">
    <w:name w:val="footnote text"/>
    <w:basedOn w:val="Normln"/>
    <w:link w:val="TextpoznpodarouChar"/>
    <w:uiPriority w:val="99"/>
    <w:semiHidden/>
    <w:unhideWhenUsed/>
    <w:rsid w:val="004E035B"/>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4E035B"/>
    <w:rPr>
      <w:sz w:val="20"/>
      <w:szCs w:val="20"/>
    </w:rPr>
  </w:style>
  <w:style w:type="character" w:styleId="Znakapoznpodarou">
    <w:name w:val="footnote reference"/>
    <w:basedOn w:val="Standardnpsmoodstavce"/>
    <w:uiPriority w:val="99"/>
    <w:semiHidden/>
    <w:unhideWhenUsed/>
    <w:rsid w:val="004E035B"/>
    <w:rPr>
      <w:vertAlign w:val="superscript"/>
    </w:rPr>
  </w:style>
  <w:style w:type="paragraph" w:styleId="Textbubliny">
    <w:name w:val="Balloon Text"/>
    <w:basedOn w:val="Normln"/>
    <w:link w:val="TextbublinyChar"/>
    <w:uiPriority w:val="99"/>
    <w:semiHidden/>
    <w:unhideWhenUsed/>
    <w:rsid w:val="002E3E9D"/>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2E3E9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pubman.mpdl.mpg.de/pubman/item/escidoc:1824967:10/component/escidoc:2213060/Perniss_etal_Lg_2015.pdf" TargetMode="External"/><Relationship Id="rId13" Type="http://schemas.openxmlformats.org/officeDocument/2006/relationships/hyperlink" Target="http://pubman.mpdl.mpg.de/pubman/item/escidoc:898645:9/component/escidoc:1048579/Perniss_2011_does.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s.wikipedia.org/wiki/Anal%C3%BDza_rozptyl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5D155-C222-4C49-A7A8-63025BCEB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7</Pages>
  <Words>2037</Words>
  <Characters>12024</Characters>
  <Application>Microsoft Office Word</Application>
  <DocSecurity>0</DocSecurity>
  <Lines>100</Lines>
  <Paragraphs>28</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14033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FFUK</dc:creator>
  <cp:keywords/>
  <dc:description/>
  <cp:lastModifiedBy>FFUK</cp:lastModifiedBy>
  <cp:revision>25</cp:revision>
  <cp:lastPrinted>2018-03-19T07:26:00Z</cp:lastPrinted>
  <dcterms:created xsi:type="dcterms:W3CDTF">2018-03-12T08:10:00Z</dcterms:created>
  <dcterms:modified xsi:type="dcterms:W3CDTF">2018-03-19T08:01:00Z</dcterms:modified>
</cp:coreProperties>
</file>