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99748" w14:textId="77777777" w:rsidR="00FB3F63" w:rsidRPr="00D75881" w:rsidRDefault="00D75881" w:rsidP="00D75881">
      <w:pPr>
        <w:jc w:val="center"/>
        <w:rPr>
          <w:rFonts w:ascii="Times" w:hAnsi="Times"/>
          <w:b/>
          <w:sz w:val="28"/>
          <w:szCs w:val="22"/>
        </w:rPr>
      </w:pPr>
      <w:r w:rsidRPr="00D75881">
        <w:rPr>
          <w:rFonts w:ascii="Times" w:hAnsi="Times"/>
          <w:b/>
          <w:sz w:val="28"/>
          <w:szCs w:val="22"/>
        </w:rPr>
        <w:t xml:space="preserve">M. Heidegger, </w:t>
      </w:r>
      <w:r w:rsidRPr="00D75881">
        <w:rPr>
          <w:rFonts w:ascii="Times" w:hAnsi="Times"/>
          <w:b/>
          <w:i/>
          <w:sz w:val="28"/>
          <w:szCs w:val="22"/>
        </w:rPr>
        <w:t xml:space="preserve">Vom Wesen des Grundes, </w:t>
      </w:r>
      <w:r w:rsidRPr="00D75881">
        <w:rPr>
          <w:rFonts w:ascii="Times" w:hAnsi="Times"/>
          <w:b/>
          <w:sz w:val="28"/>
          <w:szCs w:val="22"/>
        </w:rPr>
        <w:t>§§ 10-13</w:t>
      </w:r>
    </w:p>
    <w:p w14:paraId="2FCD9254" w14:textId="77777777" w:rsidR="00D75881" w:rsidRPr="00D75881" w:rsidRDefault="00D75881" w:rsidP="00D75881">
      <w:pPr>
        <w:jc w:val="center"/>
        <w:rPr>
          <w:rFonts w:ascii="Times" w:hAnsi="Times"/>
          <w:b/>
          <w:sz w:val="22"/>
          <w:szCs w:val="22"/>
        </w:rPr>
      </w:pPr>
    </w:p>
    <w:p w14:paraId="7C736CF0" w14:textId="77777777" w:rsidR="00D75881" w:rsidRPr="00D75881" w:rsidRDefault="00D75881">
      <w:pPr>
        <w:rPr>
          <w:sz w:val="22"/>
          <w:szCs w:val="22"/>
        </w:rPr>
      </w:pPr>
    </w:p>
    <w:tbl>
      <w:tblPr>
        <w:tblStyle w:val="Tabellenraster"/>
        <w:tblW w:w="0" w:type="auto"/>
        <w:tblLook w:val="04A0" w:firstRow="1" w:lastRow="0" w:firstColumn="1" w:lastColumn="0" w:noHBand="0" w:noVBand="1"/>
      </w:tblPr>
      <w:tblGrid>
        <w:gridCol w:w="4528"/>
        <w:gridCol w:w="4528"/>
      </w:tblGrid>
      <w:tr w:rsidR="00D75881" w:rsidRPr="00D75881" w14:paraId="45F0E01E" w14:textId="77777777" w:rsidTr="00D75881">
        <w:tc>
          <w:tcPr>
            <w:tcW w:w="4528" w:type="dxa"/>
            <w:tcBorders>
              <w:top w:val="nil"/>
              <w:left w:val="nil"/>
              <w:bottom w:val="nil"/>
              <w:right w:val="nil"/>
            </w:tcBorders>
          </w:tcPr>
          <w:p w14:paraId="73273DE1" w14:textId="77777777" w:rsidR="00D75881" w:rsidRPr="00D75881" w:rsidRDefault="00D75881" w:rsidP="00AA7140">
            <w:pPr>
              <w:jc w:val="both"/>
              <w:rPr>
                <w:rFonts w:ascii="Times" w:hAnsi="Times"/>
                <w:sz w:val="22"/>
                <w:szCs w:val="22"/>
              </w:rPr>
            </w:pPr>
            <w:r w:rsidRPr="00D75881">
              <w:rPr>
                <w:rFonts w:ascii="Times" w:hAnsi="Times"/>
                <w:sz w:val="22"/>
                <w:szCs w:val="22"/>
              </w:rPr>
              <w:t xml:space="preserve">Dem Dasein das In-der-Welt-sein als Grundverfassung zusprechen, heißt, etwas über sein Wesen (seine eigenste innere Möglichkeit als Dasein) aussagen. Hierbei kann gerade </w:t>
            </w:r>
            <w:r w:rsidRPr="00D75881">
              <w:rPr>
                <w:rFonts w:ascii="Times" w:hAnsi="Times"/>
                <w:i/>
                <w:sz w:val="22"/>
                <w:szCs w:val="22"/>
              </w:rPr>
              <w:t xml:space="preserve">nicht darauf </w:t>
            </w:r>
            <w:r w:rsidRPr="00D75881">
              <w:rPr>
                <w:rFonts w:ascii="Times" w:hAnsi="Times"/>
                <w:sz w:val="22"/>
                <w:szCs w:val="22"/>
              </w:rPr>
              <w:t xml:space="preserve">als ausweisende Instanz gesehen werden, </w:t>
            </w:r>
            <w:r w:rsidRPr="00D75881">
              <w:rPr>
                <w:rFonts w:ascii="Times" w:hAnsi="Times"/>
                <w:i/>
                <w:sz w:val="22"/>
                <w:szCs w:val="22"/>
              </w:rPr>
              <w:t xml:space="preserve">ob </w:t>
            </w:r>
            <w:r w:rsidRPr="00D75881">
              <w:rPr>
                <w:rFonts w:ascii="Times" w:hAnsi="Times"/>
                <w:sz w:val="22"/>
                <w:szCs w:val="22"/>
              </w:rPr>
              <w:t xml:space="preserve">und </w:t>
            </w:r>
            <w:r w:rsidRPr="00D75881">
              <w:rPr>
                <w:rFonts w:ascii="Times" w:hAnsi="Times"/>
                <w:i/>
                <w:sz w:val="22"/>
                <w:szCs w:val="22"/>
              </w:rPr>
              <w:t xml:space="preserve">welches </w:t>
            </w:r>
            <w:r w:rsidRPr="00D75881">
              <w:rPr>
                <w:rFonts w:ascii="Times" w:hAnsi="Times"/>
                <w:sz w:val="22"/>
                <w:szCs w:val="22"/>
              </w:rPr>
              <w:t xml:space="preserve">Dasein je nun gerade faktisch existiert oder nicht. Die Rede vom In-der-Welt-sein ist keine Feststellung des faktischen Vorkommens von Dasein, ja überhaupt keine ontische Aussage. Sie betrifft einen das Dasein überhaupt bestimmendes Wesensverhalt und hat daher den Charakter einer ontologischen These. Mithin gilt: das  Dasein ist nicht deshalb ein In-der-Welt-sein, weil und nur weil es faktisch existiert, sondern umgekehrt, es </w:t>
            </w:r>
            <w:r w:rsidRPr="00D75881">
              <w:rPr>
                <w:rFonts w:ascii="Times" w:hAnsi="Times"/>
                <w:i/>
                <w:sz w:val="22"/>
                <w:szCs w:val="22"/>
              </w:rPr>
              <w:t xml:space="preserve">kann </w:t>
            </w:r>
            <w:r w:rsidRPr="00D75881">
              <w:rPr>
                <w:rFonts w:ascii="Times" w:hAnsi="Times"/>
                <w:sz w:val="22"/>
                <w:szCs w:val="22"/>
              </w:rPr>
              <w:t xml:space="preserve">nur als existierendes </w:t>
            </w:r>
            <w:r w:rsidRPr="00D75881">
              <w:rPr>
                <w:rFonts w:ascii="Times" w:hAnsi="Times"/>
                <w:i/>
                <w:sz w:val="22"/>
                <w:szCs w:val="22"/>
              </w:rPr>
              <w:t>sein</w:t>
            </w:r>
            <w:r w:rsidRPr="00D75881">
              <w:rPr>
                <w:rFonts w:ascii="Times" w:hAnsi="Times"/>
                <w:sz w:val="22"/>
                <w:szCs w:val="22"/>
              </w:rPr>
              <w:t xml:space="preserve">, d. h. als Dasein, </w:t>
            </w:r>
            <w:r w:rsidRPr="00D75881">
              <w:rPr>
                <w:rFonts w:ascii="Times" w:hAnsi="Times"/>
                <w:i/>
                <w:sz w:val="22"/>
                <w:szCs w:val="22"/>
              </w:rPr>
              <w:t xml:space="preserve">weil   </w:t>
            </w:r>
            <w:r w:rsidRPr="00D75881">
              <w:rPr>
                <w:rFonts w:ascii="Times" w:hAnsi="Times"/>
                <w:sz w:val="22"/>
                <w:szCs w:val="22"/>
              </w:rPr>
              <w:t>seine Wesensverfassung im In-der-Welt-sein liegt.</w:t>
            </w:r>
          </w:p>
          <w:p w14:paraId="01C9A71A" w14:textId="77777777" w:rsidR="00E662B3" w:rsidRDefault="00E662B3" w:rsidP="00AA7140">
            <w:pPr>
              <w:jc w:val="both"/>
              <w:rPr>
                <w:rFonts w:ascii="Times" w:hAnsi="Times"/>
                <w:sz w:val="22"/>
                <w:szCs w:val="22"/>
              </w:rPr>
            </w:pPr>
          </w:p>
          <w:p w14:paraId="437DC2F8" w14:textId="77777777" w:rsidR="00D75881" w:rsidRDefault="00D75881" w:rsidP="00AA7140">
            <w:pPr>
              <w:jc w:val="both"/>
              <w:rPr>
                <w:rFonts w:ascii="Times" w:hAnsi="Times"/>
                <w:sz w:val="22"/>
                <w:szCs w:val="22"/>
              </w:rPr>
            </w:pPr>
            <w:r w:rsidRPr="00D75881">
              <w:rPr>
                <w:rFonts w:ascii="Times" w:hAnsi="Times"/>
                <w:sz w:val="22"/>
                <w:szCs w:val="22"/>
              </w:rPr>
              <w:t>Der Satz: das faktische Dasein ist in einer Welt (kommt under anderem Seinden vor), verrät sich als eine nichtssagende Tautologie. Die Aussage: zum Wesen des Daseins gehört, daß es in der Welt ist (</w:t>
            </w:r>
            <w:r w:rsidRPr="00D75881">
              <w:rPr>
                <w:rFonts w:ascii="Times" w:hAnsi="Times"/>
                <w:sz w:val="22"/>
                <w:szCs w:val="22"/>
                <w:lang w:val="de-DE"/>
              </w:rPr>
              <w:t xml:space="preserve">»neben« </w:t>
            </w:r>
            <w:r w:rsidRPr="00D75881">
              <w:rPr>
                <w:rFonts w:ascii="Times" w:hAnsi="Times"/>
                <w:sz w:val="22"/>
                <w:szCs w:val="22"/>
              </w:rPr>
              <w:t xml:space="preserve">anderem Seienden notwendig auch vorkommt), erweist sich als falsch. Die These: zum Wesen von Dasein als solchem gehört das In-der-Welt-sein, enthält das </w:t>
            </w:r>
            <w:r w:rsidRPr="00D75881">
              <w:rPr>
                <w:rFonts w:ascii="Times" w:hAnsi="Times"/>
                <w:i/>
                <w:sz w:val="22"/>
                <w:szCs w:val="22"/>
              </w:rPr>
              <w:t xml:space="preserve">Problem </w:t>
            </w:r>
            <w:r w:rsidRPr="00D75881">
              <w:rPr>
                <w:rFonts w:ascii="Times" w:hAnsi="Times"/>
                <w:sz w:val="22"/>
                <w:szCs w:val="22"/>
              </w:rPr>
              <w:t>der Transzendenz.</w:t>
            </w:r>
          </w:p>
          <w:p w14:paraId="64433655" w14:textId="77777777" w:rsidR="007F4582" w:rsidRPr="00D75881" w:rsidRDefault="007F4582" w:rsidP="00AA7140">
            <w:pPr>
              <w:jc w:val="both"/>
              <w:rPr>
                <w:rFonts w:ascii="Times" w:hAnsi="Times"/>
                <w:sz w:val="22"/>
                <w:szCs w:val="22"/>
              </w:rPr>
            </w:pPr>
          </w:p>
          <w:p w14:paraId="4AAD8307" w14:textId="6D70E3C5" w:rsidR="00D75881" w:rsidRPr="00D75881" w:rsidRDefault="00D75881" w:rsidP="00AA7140">
            <w:pPr>
              <w:jc w:val="both"/>
              <w:rPr>
                <w:rFonts w:ascii="Times" w:hAnsi="Times"/>
                <w:sz w:val="22"/>
                <w:szCs w:val="22"/>
              </w:rPr>
            </w:pPr>
            <w:r w:rsidRPr="00D75881">
              <w:rPr>
                <w:rFonts w:ascii="Times" w:hAnsi="Times"/>
                <w:sz w:val="22"/>
                <w:szCs w:val="22"/>
              </w:rPr>
              <w:t xml:space="preserve">Die These ist ursprünglich und einfach. Hieraus folgt nicht die Einfachheit ihrer Enthüllung, wenngleich das In-der-Welt-sein je nur in </w:t>
            </w:r>
            <w:r w:rsidRPr="00D75881">
              <w:rPr>
                <w:rFonts w:ascii="Times" w:hAnsi="Times"/>
                <w:i/>
                <w:sz w:val="22"/>
                <w:szCs w:val="22"/>
              </w:rPr>
              <w:t xml:space="preserve">einem, </w:t>
            </w:r>
            <w:r w:rsidRPr="00D75881">
              <w:rPr>
                <w:rFonts w:ascii="Times" w:hAnsi="Times"/>
                <w:sz w:val="22"/>
                <w:szCs w:val="22"/>
              </w:rPr>
              <w:t xml:space="preserve">nach verschiedenen Graden durchsichtigen </w:t>
            </w:r>
            <w:r w:rsidRPr="00D75881">
              <w:rPr>
                <w:rFonts w:ascii="Times" w:hAnsi="Times"/>
                <w:i/>
                <w:sz w:val="22"/>
                <w:szCs w:val="22"/>
              </w:rPr>
              <w:t xml:space="preserve">Entwurf </w:t>
            </w:r>
            <w:r w:rsidRPr="00D75881">
              <w:rPr>
                <w:rFonts w:ascii="Times" w:hAnsi="Times"/>
                <w:sz w:val="22"/>
                <w:szCs w:val="22"/>
              </w:rPr>
              <w:t>in das vorbereitende und wieder (frelic</w:t>
            </w:r>
            <w:r w:rsidR="008D4A6A">
              <w:rPr>
                <w:rFonts w:ascii="Times" w:hAnsi="Times"/>
                <w:sz w:val="22"/>
                <w:szCs w:val="22"/>
              </w:rPr>
              <w:t>h immer relativ) begrifflich ab</w:t>
            </w:r>
            <w:r w:rsidRPr="00D75881">
              <w:rPr>
                <w:rFonts w:ascii="Times" w:hAnsi="Times"/>
                <w:sz w:val="22"/>
                <w:szCs w:val="22"/>
              </w:rPr>
              <w:t xml:space="preserve">zuschließende Verständnis gebracht werden kann. </w:t>
            </w:r>
          </w:p>
          <w:p w14:paraId="07835617" w14:textId="77777777" w:rsidR="007F4582" w:rsidRDefault="007F4582" w:rsidP="00AA7140">
            <w:pPr>
              <w:jc w:val="both"/>
              <w:rPr>
                <w:rFonts w:ascii="Times" w:hAnsi="Times"/>
                <w:sz w:val="22"/>
                <w:szCs w:val="22"/>
              </w:rPr>
            </w:pPr>
          </w:p>
          <w:p w14:paraId="7D8882B3" w14:textId="2D0F9F3B" w:rsidR="00D75881" w:rsidRPr="00D75881" w:rsidRDefault="00D75881" w:rsidP="00AA7140">
            <w:pPr>
              <w:jc w:val="both"/>
              <w:rPr>
                <w:rFonts w:ascii="Times" w:hAnsi="Times"/>
                <w:sz w:val="22"/>
                <w:szCs w:val="22"/>
              </w:rPr>
            </w:pPr>
            <w:r w:rsidRPr="00D75881">
              <w:rPr>
                <w:rFonts w:ascii="Times" w:hAnsi="Times"/>
                <w:sz w:val="22"/>
                <w:szCs w:val="22"/>
              </w:rPr>
              <w:t xml:space="preserve">Die Transzendenz des Daseins ist mit der bisherigen Charakteristik des In-der-Welt-sein nur erst aus der Abwehr bestimmt. Zur Transzendenz gehört Welt als das, woraufhin der Überstieg geschieht. Das positive Problem, als was Welt verstanden, wie der »Bezug« des Daseins zur Welt bestimmt,      d. h. wie das In-der-Welt-sein als ursprünglich einige Daseinsverfassung begriffen werden soll, erörtern wir hier nur in der Richtung und in den Grenzen, die durch das leitende Problem des Grundes gefordert ist. In Absicht hierauf sei eine Interpretation des </w:t>
            </w:r>
            <w:r w:rsidRPr="00D75881">
              <w:rPr>
                <w:rFonts w:ascii="Times" w:hAnsi="Times"/>
                <w:i/>
                <w:sz w:val="22"/>
                <w:szCs w:val="22"/>
              </w:rPr>
              <w:t>Weltphänomens</w:t>
            </w:r>
            <w:r w:rsidR="00006485">
              <w:rPr>
                <w:rFonts w:ascii="Times" w:hAnsi="Times"/>
                <w:sz w:val="22"/>
                <w:szCs w:val="22"/>
              </w:rPr>
              <w:t xml:space="preserve"> versucht, die der Erh</w:t>
            </w:r>
            <w:r w:rsidRPr="00D75881">
              <w:rPr>
                <w:rFonts w:ascii="Times" w:hAnsi="Times"/>
                <w:sz w:val="22"/>
                <w:szCs w:val="22"/>
              </w:rPr>
              <w:t xml:space="preserve">ellung der Transzendenz als solcher dienen soll.       </w:t>
            </w:r>
          </w:p>
        </w:tc>
        <w:tc>
          <w:tcPr>
            <w:tcW w:w="4528" w:type="dxa"/>
            <w:tcBorders>
              <w:top w:val="nil"/>
              <w:left w:val="nil"/>
              <w:bottom w:val="nil"/>
              <w:right w:val="nil"/>
            </w:tcBorders>
          </w:tcPr>
          <w:p w14:paraId="790B0117" w14:textId="13859465" w:rsidR="00D75881" w:rsidRPr="00D75881" w:rsidRDefault="00E662B3" w:rsidP="00AA7140">
            <w:pPr>
              <w:jc w:val="both"/>
              <w:rPr>
                <w:rFonts w:ascii="Times" w:hAnsi="Times"/>
                <w:sz w:val="22"/>
                <w:szCs w:val="22"/>
              </w:rPr>
            </w:pPr>
            <w:r>
              <w:rPr>
                <w:rFonts w:ascii="Times" w:hAnsi="Times"/>
                <w:sz w:val="22"/>
                <w:szCs w:val="22"/>
              </w:rPr>
              <w:t xml:space="preserve">Připisovat pobytu ‚bytí ve </w:t>
            </w:r>
            <w:r w:rsidR="00D75881" w:rsidRPr="00D75881">
              <w:rPr>
                <w:rFonts w:ascii="Times" w:hAnsi="Times"/>
                <w:sz w:val="22"/>
                <w:szCs w:val="22"/>
              </w:rPr>
              <w:t xml:space="preserve">světe‘ jakožto jeho základní skladbu znamená </w:t>
            </w:r>
            <w:r>
              <w:rPr>
                <w:rFonts w:ascii="Times" w:hAnsi="Times"/>
                <w:sz w:val="22"/>
                <w:szCs w:val="22"/>
              </w:rPr>
              <w:t>vypovídat</w:t>
            </w:r>
            <w:r w:rsidR="00EF6CD2">
              <w:rPr>
                <w:rFonts w:ascii="Times" w:hAnsi="Times"/>
                <w:sz w:val="22"/>
                <w:szCs w:val="22"/>
              </w:rPr>
              <w:t xml:space="preserve"> něco o</w:t>
            </w:r>
            <w:r w:rsidR="00D75881" w:rsidRPr="00D75881">
              <w:rPr>
                <w:rFonts w:ascii="Times" w:hAnsi="Times"/>
                <w:sz w:val="22"/>
                <w:szCs w:val="22"/>
              </w:rPr>
              <w:t xml:space="preserve"> jeho bytnost</w:t>
            </w:r>
            <w:r w:rsidR="00EF6CD2">
              <w:rPr>
                <w:rFonts w:ascii="Times" w:hAnsi="Times"/>
                <w:sz w:val="22"/>
                <w:szCs w:val="22"/>
              </w:rPr>
              <w:t>i</w:t>
            </w:r>
            <w:r w:rsidR="00D75881" w:rsidRPr="00D75881">
              <w:rPr>
                <w:rFonts w:ascii="Times" w:hAnsi="Times"/>
                <w:sz w:val="22"/>
                <w:szCs w:val="22"/>
              </w:rPr>
              <w:t xml:space="preserve"> (jeho nejvlastnější vnitřní možnost</w:t>
            </w:r>
            <w:r w:rsidR="00EF6CD2">
              <w:rPr>
                <w:rFonts w:ascii="Times" w:hAnsi="Times"/>
                <w:sz w:val="22"/>
                <w:szCs w:val="22"/>
              </w:rPr>
              <w:t>i</w:t>
            </w:r>
            <w:r w:rsidR="00D75881" w:rsidRPr="00D75881">
              <w:rPr>
                <w:rFonts w:ascii="Times" w:hAnsi="Times"/>
                <w:sz w:val="22"/>
                <w:szCs w:val="22"/>
              </w:rPr>
              <w:t xml:space="preserve"> jakožto</w:t>
            </w:r>
            <w:r>
              <w:rPr>
                <w:rFonts w:ascii="Times" w:hAnsi="Times"/>
                <w:sz w:val="22"/>
                <w:szCs w:val="22"/>
              </w:rPr>
              <w:t xml:space="preserve"> pobytu</w:t>
            </w:r>
            <w:r w:rsidR="00D75881" w:rsidRPr="00D75881">
              <w:rPr>
                <w:rFonts w:ascii="Times" w:hAnsi="Times"/>
                <w:sz w:val="22"/>
                <w:szCs w:val="22"/>
              </w:rPr>
              <w:t xml:space="preserve">). Přitom právě </w:t>
            </w:r>
            <w:r w:rsidR="00D75881" w:rsidRPr="00E662B3">
              <w:rPr>
                <w:rFonts w:ascii="Times" w:hAnsi="Times"/>
                <w:i/>
                <w:sz w:val="22"/>
                <w:szCs w:val="22"/>
              </w:rPr>
              <w:t>nelze</w:t>
            </w:r>
            <w:r w:rsidR="00D75881" w:rsidRPr="00D75881">
              <w:rPr>
                <w:rFonts w:ascii="Times" w:hAnsi="Times"/>
                <w:sz w:val="22"/>
                <w:szCs w:val="22"/>
              </w:rPr>
              <w:t xml:space="preserve"> hledět </w:t>
            </w:r>
            <w:r w:rsidR="00D75881" w:rsidRPr="00D75881">
              <w:rPr>
                <w:rFonts w:ascii="Times" w:hAnsi="Times"/>
                <w:i/>
                <w:sz w:val="22"/>
                <w:szCs w:val="22"/>
              </w:rPr>
              <w:t>na to</w:t>
            </w:r>
            <w:r w:rsidR="00D75881" w:rsidRPr="00D75881">
              <w:rPr>
                <w:rFonts w:ascii="Times" w:hAnsi="Times"/>
                <w:sz w:val="22"/>
                <w:szCs w:val="22"/>
              </w:rPr>
              <w:t xml:space="preserve">, </w:t>
            </w:r>
            <w:r w:rsidR="00D75881" w:rsidRPr="00D75881">
              <w:rPr>
                <w:rFonts w:ascii="Times" w:hAnsi="Times"/>
                <w:i/>
                <w:sz w:val="22"/>
                <w:szCs w:val="22"/>
              </w:rPr>
              <w:t xml:space="preserve">zda </w:t>
            </w:r>
            <w:r w:rsidR="00D75881" w:rsidRPr="00D75881">
              <w:rPr>
                <w:rFonts w:ascii="Times" w:hAnsi="Times"/>
                <w:sz w:val="22"/>
                <w:szCs w:val="22"/>
              </w:rPr>
              <w:t xml:space="preserve">a </w:t>
            </w:r>
            <w:r w:rsidR="00D75881" w:rsidRPr="00D75881">
              <w:rPr>
                <w:rFonts w:ascii="Times" w:hAnsi="Times"/>
                <w:i/>
                <w:sz w:val="22"/>
                <w:szCs w:val="22"/>
              </w:rPr>
              <w:t xml:space="preserve">který </w:t>
            </w:r>
            <w:r w:rsidR="00D75881" w:rsidRPr="00D75881">
              <w:rPr>
                <w:rFonts w:ascii="Times" w:hAnsi="Times"/>
                <w:sz w:val="22"/>
                <w:szCs w:val="22"/>
              </w:rPr>
              <w:t xml:space="preserve">pobyt nyní zrovna fakticky existuje či neexistuje jakožto na </w:t>
            </w:r>
            <w:r>
              <w:rPr>
                <w:rFonts w:ascii="Times" w:hAnsi="Times"/>
                <w:sz w:val="22"/>
                <w:szCs w:val="22"/>
              </w:rPr>
              <w:t>rozhodující instanci</w:t>
            </w:r>
            <w:r w:rsidR="00D75881" w:rsidRPr="00D75881">
              <w:rPr>
                <w:rFonts w:ascii="Times" w:hAnsi="Times"/>
                <w:sz w:val="22"/>
                <w:szCs w:val="22"/>
              </w:rPr>
              <w:t>. Řeč o ‚bytí</w:t>
            </w:r>
            <w:r>
              <w:rPr>
                <w:rFonts w:ascii="Times" w:hAnsi="Times"/>
                <w:sz w:val="22"/>
                <w:szCs w:val="22"/>
              </w:rPr>
              <w:t xml:space="preserve"> ve </w:t>
            </w:r>
            <w:r w:rsidR="00D75881" w:rsidRPr="00D75881">
              <w:rPr>
                <w:rFonts w:ascii="Times" w:hAnsi="Times"/>
                <w:sz w:val="22"/>
                <w:szCs w:val="22"/>
              </w:rPr>
              <w:t xml:space="preserve">světě‘ není žádným </w:t>
            </w:r>
            <w:r>
              <w:rPr>
                <w:rFonts w:ascii="Times" w:hAnsi="Times"/>
                <w:sz w:val="22"/>
                <w:szCs w:val="22"/>
              </w:rPr>
              <w:t>konstatováním</w:t>
            </w:r>
            <w:r w:rsidR="00D75881" w:rsidRPr="00D75881">
              <w:rPr>
                <w:rFonts w:ascii="Times" w:hAnsi="Times"/>
                <w:sz w:val="22"/>
                <w:szCs w:val="22"/>
              </w:rPr>
              <w:t xml:space="preserve">  faktického </w:t>
            </w:r>
            <w:r>
              <w:rPr>
                <w:rFonts w:ascii="Times" w:hAnsi="Times"/>
                <w:sz w:val="22"/>
                <w:szCs w:val="22"/>
              </w:rPr>
              <w:t xml:space="preserve">vyskytování </w:t>
            </w:r>
            <w:r w:rsidR="00D75881" w:rsidRPr="00D75881">
              <w:rPr>
                <w:rFonts w:ascii="Times" w:hAnsi="Times"/>
                <w:sz w:val="22"/>
                <w:szCs w:val="22"/>
              </w:rPr>
              <w:t>pobytu,</w:t>
            </w:r>
            <w:r>
              <w:rPr>
                <w:rFonts w:ascii="Times" w:hAnsi="Times"/>
                <w:sz w:val="22"/>
                <w:szCs w:val="22"/>
              </w:rPr>
              <w:t xml:space="preserve"> v žádném případě se nejedná o ontickou výpověď. </w:t>
            </w:r>
            <w:r w:rsidR="00D75881" w:rsidRPr="00D75881">
              <w:rPr>
                <w:rFonts w:ascii="Times" w:hAnsi="Times"/>
                <w:sz w:val="22"/>
                <w:szCs w:val="22"/>
              </w:rPr>
              <w:t xml:space="preserve">Týká se </w:t>
            </w:r>
            <w:r>
              <w:rPr>
                <w:rFonts w:ascii="Times" w:hAnsi="Times"/>
                <w:sz w:val="22"/>
                <w:szCs w:val="22"/>
              </w:rPr>
              <w:t>bytostného stavu</w:t>
            </w:r>
            <w:r w:rsidR="00D75881" w:rsidRPr="00D75881">
              <w:rPr>
                <w:rFonts w:ascii="Times" w:hAnsi="Times"/>
                <w:sz w:val="22"/>
                <w:szCs w:val="22"/>
              </w:rPr>
              <w:t>,</w:t>
            </w:r>
            <w:r>
              <w:rPr>
                <w:rFonts w:ascii="Times" w:hAnsi="Times"/>
                <w:sz w:val="22"/>
                <w:szCs w:val="22"/>
              </w:rPr>
              <w:t xml:space="preserve"> jímž je určován pobyt vůbec, a proto </w:t>
            </w:r>
            <w:r w:rsidR="00D75881" w:rsidRPr="00D75881">
              <w:rPr>
                <w:rFonts w:ascii="Times" w:hAnsi="Times"/>
                <w:sz w:val="22"/>
                <w:szCs w:val="22"/>
              </w:rPr>
              <w:t>má povahu ontologické teze. P</w:t>
            </w:r>
            <w:r>
              <w:rPr>
                <w:rFonts w:ascii="Times" w:hAnsi="Times"/>
                <w:sz w:val="22"/>
                <w:szCs w:val="22"/>
              </w:rPr>
              <w:t xml:space="preserve">latí tedy: Pobyt není ‚bytím ve </w:t>
            </w:r>
            <w:r w:rsidR="00D75881" w:rsidRPr="00D75881">
              <w:rPr>
                <w:rFonts w:ascii="Times" w:hAnsi="Times"/>
                <w:sz w:val="22"/>
                <w:szCs w:val="22"/>
              </w:rPr>
              <w:t xml:space="preserve">světě‘ </w:t>
            </w:r>
            <w:r>
              <w:rPr>
                <w:rFonts w:ascii="Times" w:hAnsi="Times"/>
                <w:sz w:val="22"/>
                <w:szCs w:val="22"/>
              </w:rPr>
              <w:t xml:space="preserve">proto a </w:t>
            </w:r>
            <w:r w:rsidR="00D75881" w:rsidRPr="00D75881">
              <w:rPr>
                <w:rFonts w:ascii="Times" w:hAnsi="Times"/>
                <w:sz w:val="22"/>
                <w:szCs w:val="22"/>
              </w:rPr>
              <w:t xml:space="preserve">pouze </w:t>
            </w:r>
            <w:r>
              <w:rPr>
                <w:rFonts w:ascii="Times" w:hAnsi="Times"/>
                <w:sz w:val="22"/>
                <w:szCs w:val="22"/>
              </w:rPr>
              <w:t xml:space="preserve">proto, že </w:t>
            </w:r>
            <w:r w:rsidR="00D75881" w:rsidRPr="00D75881">
              <w:rPr>
                <w:rFonts w:ascii="Times" w:hAnsi="Times"/>
                <w:sz w:val="22"/>
                <w:szCs w:val="22"/>
              </w:rPr>
              <w:t>fakticky existuje, ale naopak</w:t>
            </w:r>
            <w:r w:rsidR="00D164E8">
              <w:rPr>
                <w:rFonts w:ascii="Times" w:hAnsi="Times"/>
                <w:sz w:val="22"/>
                <w:szCs w:val="22"/>
              </w:rPr>
              <w:t xml:space="preserve"> </w:t>
            </w:r>
            <w:r w:rsidR="00D164E8">
              <w:rPr>
                <w:rFonts w:ascii="Times" w:hAnsi="Times"/>
                <w:i/>
                <w:sz w:val="22"/>
                <w:szCs w:val="22"/>
              </w:rPr>
              <w:t>být</w:t>
            </w:r>
            <w:r w:rsidR="00D75881" w:rsidRPr="00D75881">
              <w:rPr>
                <w:rFonts w:ascii="Times" w:hAnsi="Times"/>
                <w:sz w:val="22"/>
                <w:szCs w:val="22"/>
              </w:rPr>
              <w:t xml:space="preserve"> </w:t>
            </w:r>
            <w:r w:rsidR="00D164E8">
              <w:rPr>
                <w:rFonts w:ascii="Times" w:hAnsi="Times"/>
                <w:sz w:val="22"/>
                <w:szCs w:val="22"/>
              </w:rPr>
              <w:t xml:space="preserve">jako </w:t>
            </w:r>
            <w:r w:rsidR="00D75881" w:rsidRPr="00D75881">
              <w:rPr>
                <w:rFonts w:ascii="Times" w:hAnsi="Times"/>
                <w:sz w:val="22"/>
                <w:szCs w:val="22"/>
              </w:rPr>
              <w:t xml:space="preserve"> existující, tzn. jakožto pobyt,</w:t>
            </w:r>
            <w:r w:rsidR="00D164E8">
              <w:rPr>
                <w:rFonts w:ascii="Times" w:hAnsi="Times"/>
                <w:sz w:val="22"/>
                <w:szCs w:val="22"/>
              </w:rPr>
              <w:t xml:space="preserve"> </w:t>
            </w:r>
            <w:r w:rsidR="00D164E8">
              <w:rPr>
                <w:rFonts w:ascii="Times" w:hAnsi="Times"/>
                <w:i/>
                <w:sz w:val="22"/>
                <w:szCs w:val="22"/>
              </w:rPr>
              <w:t>může</w:t>
            </w:r>
            <w:r>
              <w:rPr>
                <w:rFonts w:ascii="Times" w:hAnsi="Times"/>
                <w:sz w:val="22"/>
                <w:szCs w:val="22"/>
              </w:rPr>
              <w:t xml:space="preserve"> </w:t>
            </w:r>
            <w:r w:rsidR="00D164E8">
              <w:rPr>
                <w:rFonts w:ascii="Times" w:hAnsi="Times"/>
                <w:sz w:val="22"/>
                <w:szCs w:val="22"/>
              </w:rPr>
              <w:t xml:space="preserve">jen </w:t>
            </w:r>
            <w:r w:rsidR="00D75881" w:rsidRPr="00D75881">
              <w:rPr>
                <w:rFonts w:ascii="Times" w:hAnsi="Times"/>
                <w:i/>
                <w:sz w:val="22"/>
                <w:szCs w:val="22"/>
              </w:rPr>
              <w:t>proto</w:t>
            </w:r>
            <w:r w:rsidR="00D75881" w:rsidRPr="00D75881">
              <w:rPr>
                <w:rFonts w:ascii="Times" w:hAnsi="Times"/>
                <w:sz w:val="22"/>
                <w:szCs w:val="22"/>
              </w:rPr>
              <w:t xml:space="preserve">, </w:t>
            </w:r>
            <w:r w:rsidR="00D75881" w:rsidRPr="00D75881">
              <w:rPr>
                <w:rFonts w:ascii="Times" w:hAnsi="Times"/>
                <w:i/>
                <w:sz w:val="22"/>
                <w:szCs w:val="22"/>
              </w:rPr>
              <w:t xml:space="preserve">že </w:t>
            </w:r>
            <w:r w:rsidR="00D75881" w:rsidRPr="00D75881">
              <w:rPr>
                <w:rFonts w:ascii="Times" w:hAnsi="Times"/>
                <w:sz w:val="22"/>
                <w:szCs w:val="22"/>
              </w:rPr>
              <w:t>jeho b</w:t>
            </w:r>
            <w:r w:rsidR="007F4582">
              <w:rPr>
                <w:rFonts w:ascii="Times" w:hAnsi="Times"/>
                <w:sz w:val="22"/>
                <w:szCs w:val="22"/>
              </w:rPr>
              <w:t xml:space="preserve">ytostná skladba spočívá v ‚bytí ve </w:t>
            </w:r>
            <w:r w:rsidR="00D75881" w:rsidRPr="00D75881">
              <w:rPr>
                <w:rFonts w:ascii="Times" w:hAnsi="Times"/>
                <w:sz w:val="22"/>
                <w:szCs w:val="22"/>
              </w:rPr>
              <w:t xml:space="preserve">světě‘. </w:t>
            </w:r>
          </w:p>
          <w:p w14:paraId="301C3A8E" w14:textId="77777777" w:rsidR="00E662B3" w:rsidRDefault="00E662B3" w:rsidP="00AA7140">
            <w:pPr>
              <w:jc w:val="both"/>
              <w:rPr>
                <w:rFonts w:ascii="Times" w:hAnsi="Times"/>
                <w:sz w:val="22"/>
                <w:szCs w:val="22"/>
              </w:rPr>
            </w:pPr>
          </w:p>
          <w:p w14:paraId="3635B722" w14:textId="75AB74CC" w:rsidR="00D75881" w:rsidRDefault="00D75881" w:rsidP="00AA7140">
            <w:pPr>
              <w:jc w:val="both"/>
              <w:rPr>
                <w:rFonts w:ascii="Times" w:hAnsi="Times"/>
                <w:sz w:val="22"/>
                <w:szCs w:val="22"/>
              </w:rPr>
            </w:pPr>
            <w:r w:rsidRPr="00D75881">
              <w:rPr>
                <w:rFonts w:ascii="Times" w:hAnsi="Times"/>
                <w:sz w:val="22"/>
                <w:szCs w:val="22"/>
              </w:rPr>
              <w:t xml:space="preserve">Věta: </w:t>
            </w:r>
            <w:r w:rsidR="002B6BB5">
              <w:rPr>
                <w:rFonts w:ascii="Times" w:hAnsi="Times"/>
                <w:sz w:val="22"/>
                <w:szCs w:val="22"/>
              </w:rPr>
              <w:t>Faktický p</w:t>
            </w:r>
            <w:r w:rsidRPr="00D75881">
              <w:rPr>
                <w:rFonts w:ascii="Times" w:hAnsi="Times"/>
                <w:sz w:val="22"/>
                <w:szCs w:val="22"/>
              </w:rPr>
              <w:t xml:space="preserve">obyt je ve světe (vyskytuje se mezi ostatními jsoucny), se ukazuje jako nic neříkající tautologie. </w:t>
            </w:r>
            <w:r w:rsidR="0000320E">
              <w:rPr>
                <w:rFonts w:ascii="Times" w:hAnsi="Times"/>
                <w:sz w:val="22"/>
                <w:szCs w:val="22"/>
              </w:rPr>
              <w:t>Výrok</w:t>
            </w:r>
            <w:r w:rsidRPr="00D75881">
              <w:rPr>
                <w:rFonts w:ascii="Times" w:hAnsi="Times"/>
                <w:sz w:val="22"/>
                <w:szCs w:val="22"/>
              </w:rPr>
              <w:t xml:space="preserve">: K bytnosti pobytu patří, že je ve světě (vyskytuje se nutně také </w:t>
            </w:r>
            <w:r w:rsidR="009B6127">
              <w:rPr>
                <w:rFonts w:ascii="Times" w:hAnsi="Times"/>
                <w:sz w:val="22"/>
                <w:szCs w:val="22"/>
              </w:rPr>
              <w:t>„</w:t>
            </w:r>
            <w:r w:rsidRPr="00D75881">
              <w:rPr>
                <w:rFonts w:ascii="Times" w:hAnsi="Times"/>
                <w:sz w:val="22"/>
                <w:szCs w:val="22"/>
              </w:rPr>
              <w:t>vedle</w:t>
            </w:r>
            <w:r w:rsidR="009B6127">
              <w:rPr>
                <w:rFonts w:ascii="Times" w:hAnsi="Times"/>
                <w:sz w:val="22"/>
                <w:szCs w:val="22"/>
              </w:rPr>
              <w:t>“</w:t>
            </w:r>
            <w:r w:rsidRPr="00D75881">
              <w:rPr>
                <w:rFonts w:ascii="Times" w:hAnsi="Times"/>
                <w:sz w:val="22"/>
                <w:szCs w:val="22"/>
              </w:rPr>
              <w:t xml:space="preserve"> dalších jsoucen), se zase ukazuje jak</w:t>
            </w:r>
            <w:r w:rsidR="002B6BB5">
              <w:rPr>
                <w:rFonts w:ascii="Times" w:hAnsi="Times"/>
                <w:sz w:val="22"/>
                <w:szCs w:val="22"/>
              </w:rPr>
              <w:t>o nepravdivý. Teze: K</w:t>
            </w:r>
            <w:r w:rsidR="00D164E8">
              <w:rPr>
                <w:rFonts w:ascii="Times" w:hAnsi="Times"/>
                <w:sz w:val="22"/>
                <w:szCs w:val="22"/>
              </w:rPr>
              <w:t> bytnosti pobytu jako takového</w:t>
            </w:r>
            <w:r w:rsidR="0000320E">
              <w:rPr>
                <w:rFonts w:ascii="Times" w:hAnsi="Times"/>
                <w:sz w:val="22"/>
                <w:szCs w:val="22"/>
              </w:rPr>
              <w:t xml:space="preserve"> </w:t>
            </w:r>
            <w:r w:rsidR="00D164E8">
              <w:rPr>
                <w:rFonts w:ascii="Times" w:hAnsi="Times"/>
                <w:sz w:val="22"/>
                <w:szCs w:val="22"/>
              </w:rPr>
              <w:t xml:space="preserve">patří ‚bytí ve </w:t>
            </w:r>
            <w:r w:rsidRPr="00D75881">
              <w:rPr>
                <w:rFonts w:ascii="Times" w:hAnsi="Times"/>
                <w:sz w:val="22"/>
                <w:szCs w:val="22"/>
              </w:rPr>
              <w:t xml:space="preserve">světě‘, </w:t>
            </w:r>
            <w:r w:rsidR="00651C07">
              <w:rPr>
                <w:rFonts w:ascii="Times" w:hAnsi="Times"/>
                <w:sz w:val="22"/>
                <w:szCs w:val="22"/>
              </w:rPr>
              <w:t>v sobě zahrnuje</w:t>
            </w:r>
            <w:r w:rsidRPr="00D75881">
              <w:rPr>
                <w:rFonts w:ascii="Times" w:hAnsi="Times"/>
                <w:sz w:val="22"/>
                <w:szCs w:val="22"/>
              </w:rPr>
              <w:t xml:space="preserve"> </w:t>
            </w:r>
            <w:r w:rsidRPr="00D75881">
              <w:rPr>
                <w:rFonts w:ascii="Times" w:hAnsi="Times"/>
                <w:i/>
                <w:sz w:val="22"/>
                <w:szCs w:val="22"/>
              </w:rPr>
              <w:t xml:space="preserve">problém </w:t>
            </w:r>
            <w:r w:rsidR="0000320E">
              <w:rPr>
                <w:rFonts w:ascii="Times" w:hAnsi="Times"/>
                <w:i/>
                <w:sz w:val="22"/>
                <w:szCs w:val="22"/>
              </w:rPr>
              <w:t xml:space="preserve"> </w:t>
            </w:r>
            <w:r w:rsidRPr="00D75881">
              <w:rPr>
                <w:rFonts w:ascii="Times" w:hAnsi="Times"/>
                <w:sz w:val="22"/>
                <w:szCs w:val="22"/>
              </w:rPr>
              <w:t>transcendence.</w:t>
            </w:r>
          </w:p>
          <w:p w14:paraId="01884608" w14:textId="77777777" w:rsidR="007F4582" w:rsidRPr="00D75881" w:rsidRDefault="007F4582" w:rsidP="00AA7140">
            <w:pPr>
              <w:jc w:val="both"/>
              <w:rPr>
                <w:rFonts w:ascii="Times" w:hAnsi="Times"/>
                <w:sz w:val="22"/>
                <w:szCs w:val="22"/>
              </w:rPr>
            </w:pPr>
          </w:p>
          <w:p w14:paraId="45BF5CDB" w14:textId="57B1A4A8" w:rsidR="00D75881" w:rsidRDefault="00D164E8" w:rsidP="00AA7140">
            <w:pPr>
              <w:jc w:val="both"/>
              <w:rPr>
                <w:rFonts w:ascii="Times" w:hAnsi="Times"/>
                <w:sz w:val="22"/>
                <w:szCs w:val="22"/>
              </w:rPr>
            </w:pPr>
            <w:r>
              <w:rPr>
                <w:rFonts w:ascii="Times" w:hAnsi="Times"/>
                <w:sz w:val="22"/>
                <w:szCs w:val="22"/>
              </w:rPr>
              <w:t>Tato t</w:t>
            </w:r>
            <w:r w:rsidR="00D75881" w:rsidRPr="00D75881">
              <w:rPr>
                <w:rFonts w:ascii="Times" w:hAnsi="Times"/>
                <w:sz w:val="22"/>
                <w:szCs w:val="22"/>
              </w:rPr>
              <w:t>eze je původní a jednoduchá. Z toho neplyne</w:t>
            </w:r>
            <w:r>
              <w:rPr>
                <w:rFonts w:ascii="Times" w:hAnsi="Times"/>
                <w:sz w:val="22"/>
                <w:szCs w:val="22"/>
              </w:rPr>
              <w:t>, že by bylo jednoduché ji odhalit</w:t>
            </w:r>
            <w:r w:rsidR="003F3762">
              <w:rPr>
                <w:rFonts w:ascii="Times" w:hAnsi="Times"/>
                <w:sz w:val="22"/>
                <w:szCs w:val="22"/>
              </w:rPr>
              <w:t xml:space="preserve">, </w:t>
            </w:r>
            <w:r w:rsidR="00D75881" w:rsidRPr="00D75881">
              <w:rPr>
                <w:rFonts w:ascii="Times" w:hAnsi="Times"/>
                <w:sz w:val="22"/>
                <w:szCs w:val="22"/>
              </w:rPr>
              <w:t xml:space="preserve">když </w:t>
            </w:r>
            <w:r w:rsidR="007F4582">
              <w:rPr>
                <w:rFonts w:ascii="Times" w:hAnsi="Times"/>
                <w:sz w:val="22"/>
                <w:szCs w:val="22"/>
              </w:rPr>
              <w:t xml:space="preserve">‚bytí ve </w:t>
            </w:r>
            <w:r w:rsidR="00D75881" w:rsidRPr="00D75881">
              <w:rPr>
                <w:rFonts w:ascii="Times" w:hAnsi="Times"/>
                <w:sz w:val="22"/>
                <w:szCs w:val="22"/>
              </w:rPr>
              <w:t>světě‘</w:t>
            </w:r>
            <w:r w:rsidR="003F3762">
              <w:rPr>
                <w:rFonts w:ascii="Times" w:hAnsi="Times"/>
                <w:sz w:val="22"/>
                <w:szCs w:val="22"/>
              </w:rPr>
              <w:t xml:space="preserve"> </w:t>
            </w:r>
            <w:r w:rsidR="00B174E7">
              <w:rPr>
                <w:rFonts w:ascii="Times" w:hAnsi="Times"/>
                <w:sz w:val="22"/>
                <w:szCs w:val="22"/>
              </w:rPr>
              <w:t xml:space="preserve">lze pouze </w:t>
            </w:r>
            <w:r w:rsidR="003F3762">
              <w:rPr>
                <w:rFonts w:ascii="Times" w:hAnsi="Times"/>
                <w:sz w:val="22"/>
                <w:szCs w:val="22"/>
              </w:rPr>
              <w:t>v </w:t>
            </w:r>
            <w:r w:rsidR="003F3762">
              <w:rPr>
                <w:rFonts w:ascii="Times" w:hAnsi="Times"/>
                <w:i/>
                <w:sz w:val="22"/>
                <w:szCs w:val="22"/>
              </w:rPr>
              <w:t>nějakém</w:t>
            </w:r>
            <w:r w:rsidR="00D75881" w:rsidRPr="00D75881">
              <w:rPr>
                <w:rFonts w:ascii="Times" w:hAnsi="Times"/>
                <w:sz w:val="22"/>
                <w:szCs w:val="22"/>
              </w:rPr>
              <w:t> </w:t>
            </w:r>
            <w:r w:rsidR="003F3762" w:rsidRPr="003F3762">
              <w:rPr>
                <w:rFonts w:ascii="Times" w:hAnsi="Times"/>
                <w:i/>
                <w:sz w:val="22"/>
                <w:szCs w:val="22"/>
              </w:rPr>
              <w:t>rozvrhu</w:t>
            </w:r>
            <w:r w:rsidR="003F3762">
              <w:rPr>
                <w:rFonts w:ascii="Times" w:hAnsi="Times"/>
                <w:sz w:val="22"/>
                <w:szCs w:val="22"/>
              </w:rPr>
              <w:t xml:space="preserve"> </w:t>
            </w:r>
            <w:r w:rsidR="00B174E7">
              <w:rPr>
                <w:rFonts w:ascii="Times" w:hAnsi="Times"/>
                <w:sz w:val="22"/>
                <w:szCs w:val="22"/>
              </w:rPr>
              <w:t>o různém stupni</w:t>
            </w:r>
            <w:r w:rsidR="003F3762">
              <w:rPr>
                <w:rFonts w:ascii="Times" w:hAnsi="Times"/>
                <w:sz w:val="22"/>
                <w:szCs w:val="22"/>
              </w:rPr>
              <w:t xml:space="preserve"> průzračnosti přivést </w:t>
            </w:r>
            <w:r w:rsidR="00B174E7">
              <w:rPr>
                <w:rFonts w:ascii="Times" w:hAnsi="Times"/>
                <w:sz w:val="22"/>
                <w:szCs w:val="22"/>
              </w:rPr>
              <w:t>k přípravnému</w:t>
            </w:r>
            <w:r w:rsidR="003F3762">
              <w:rPr>
                <w:rFonts w:ascii="Times" w:hAnsi="Times"/>
                <w:sz w:val="22"/>
                <w:szCs w:val="22"/>
              </w:rPr>
              <w:t xml:space="preserve"> </w:t>
            </w:r>
            <w:r w:rsidR="00D75881" w:rsidRPr="00D75881">
              <w:rPr>
                <w:rFonts w:ascii="Times" w:hAnsi="Times"/>
                <w:sz w:val="22"/>
                <w:szCs w:val="22"/>
              </w:rPr>
              <w:t>a dál</w:t>
            </w:r>
            <w:r w:rsidR="008D4A6A">
              <w:rPr>
                <w:rFonts w:ascii="Times" w:hAnsi="Times"/>
                <w:sz w:val="22"/>
                <w:szCs w:val="22"/>
              </w:rPr>
              <w:t>e pak (samozřejmě vždy relativně</w:t>
            </w:r>
            <w:r w:rsidR="00B174E7">
              <w:rPr>
                <w:rFonts w:ascii="Times" w:hAnsi="Times"/>
                <w:sz w:val="22"/>
                <w:szCs w:val="22"/>
              </w:rPr>
              <w:t>) pojmově završujícímu</w:t>
            </w:r>
            <w:r w:rsidR="00D75881" w:rsidRPr="00D75881">
              <w:rPr>
                <w:rFonts w:ascii="Times" w:hAnsi="Times"/>
                <w:sz w:val="22"/>
                <w:szCs w:val="22"/>
              </w:rPr>
              <w:t xml:space="preserve"> </w:t>
            </w:r>
            <w:r w:rsidR="0000320E">
              <w:rPr>
                <w:rFonts w:ascii="Times" w:hAnsi="Times"/>
                <w:sz w:val="22"/>
                <w:szCs w:val="22"/>
              </w:rPr>
              <w:t>porozumění</w:t>
            </w:r>
            <w:r w:rsidR="00D75881" w:rsidRPr="00D75881">
              <w:rPr>
                <w:rFonts w:ascii="Times" w:hAnsi="Times"/>
                <w:sz w:val="22"/>
                <w:szCs w:val="22"/>
              </w:rPr>
              <w:t>.</w:t>
            </w:r>
          </w:p>
          <w:p w14:paraId="63F34AA4" w14:textId="77777777" w:rsidR="007F4582" w:rsidRPr="00D75881" w:rsidRDefault="007F4582" w:rsidP="00AA7140">
            <w:pPr>
              <w:jc w:val="both"/>
              <w:rPr>
                <w:rFonts w:ascii="Times" w:hAnsi="Times"/>
                <w:sz w:val="22"/>
                <w:szCs w:val="22"/>
              </w:rPr>
            </w:pPr>
          </w:p>
          <w:p w14:paraId="595A1EAA" w14:textId="4441620F" w:rsidR="00D75881" w:rsidRDefault="00D75881" w:rsidP="00AA7140">
            <w:pPr>
              <w:jc w:val="both"/>
              <w:rPr>
                <w:rFonts w:ascii="Times" w:hAnsi="Times"/>
                <w:sz w:val="22"/>
                <w:szCs w:val="22"/>
              </w:rPr>
            </w:pPr>
            <w:r w:rsidRPr="00D75881">
              <w:rPr>
                <w:rFonts w:ascii="Times" w:hAnsi="Times"/>
                <w:sz w:val="22"/>
                <w:szCs w:val="22"/>
              </w:rPr>
              <w:t xml:space="preserve">Transcendence pobytu je zprvu s dosavadní charakteristikou ‚bytí-ve-světě‘ určena pouze </w:t>
            </w:r>
            <w:r w:rsidR="0062194C">
              <w:rPr>
                <w:rFonts w:ascii="Times" w:hAnsi="Times"/>
                <w:sz w:val="22"/>
                <w:szCs w:val="22"/>
              </w:rPr>
              <w:t>defensivně</w:t>
            </w:r>
            <w:r w:rsidRPr="00D75881">
              <w:rPr>
                <w:rFonts w:ascii="Times" w:hAnsi="Times"/>
                <w:sz w:val="22"/>
                <w:szCs w:val="22"/>
              </w:rPr>
              <w:t xml:space="preserve">. K transcendenci náleží svět jako to, </w:t>
            </w:r>
            <w:r w:rsidR="0062194C">
              <w:rPr>
                <w:rFonts w:ascii="Times" w:hAnsi="Times"/>
                <w:sz w:val="22"/>
                <w:szCs w:val="22"/>
              </w:rPr>
              <w:t>kam</w:t>
            </w:r>
            <w:r w:rsidRPr="00D75881">
              <w:rPr>
                <w:rFonts w:ascii="Times" w:hAnsi="Times"/>
                <w:sz w:val="22"/>
                <w:szCs w:val="22"/>
              </w:rPr>
              <w:t xml:space="preserve"> se děje překročení. Pozitivní problém, který představuje otázka </w:t>
            </w:r>
            <w:r w:rsidR="002E065B">
              <w:rPr>
                <w:rFonts w:ascii="Times" w:hAnsi="Times"/>
                <w:sz w:val="22"/>
                <w:szCs w:val="22"/>
              </w:rPr>
              <w:t>co se rozumí světem</w:t>
            </w:r>
            <w:r w:rsidRPr="00D75881">
              <w:rPr>
                <w:rFonts w:ascii="Times" w:hAnsi="Times"/>
                <w:sz w:val="22"/>
                <w:szCs w:val="22"/>
              </w:rPr>
              <w:t>, jak má být určen „vztah“ pobytu ke světu, tzn. jak má být pojato ‚bytí-ve-světe‘ jakožto původní jednotná skladba pobytu, zde vyjasníme jen v </w:t>
            </w:r>
            <w:r w:rsidR="002E065B">
              <w:rPr>
                <w:rFonts w:ascii="Times" w:hAnsi="Times"/>
                <w:sz w:val="22"/>
                <w:szCs w:val="22"/>
              </w:rPr>
              <w:t>mezích</w:t>
            </w:r>
            <w:r w:rsidRPr="00D75881">
              <w:rPr>
                <w:rFonts w:ascii="Times" w:hAnsi="Times"/>
                <w:sz w:val="22"/>
                <w:szCs w:val="22"/>
              </w:rPr>
              <w:t xml:space="preserve"> a směru, které si žádá vůdčí problém základu. Vzhledem k</w:t>
            </w:r>
            <w:r w:rsidR="00006485">
              <w:rPr>
                <w:rFonts w:ascii="Times" w:hAnsi="Times"/>
                <w:sz w:val="22"/>
                <w:szCs w:val="22"/>
              </w:rPr>
              <w:t> </w:t>
            </w:r>
            <w:r w:rsidRPr="00D75881">
              <w:rPr>
                <w:rFonts w:ascii="Times" w:hAnsi="Times"/>
                <w:sz w:val="22"/>
                <w:szCs w:val="22"/>
              </w:rPr>
              <w:t>tomu</w:t>
            </w:r>
            <w:r w:rsidR="00006485">
              <w:rPr>
                <w:rFonts w:ascii="Times" w:hAnsi="Times"/>
                <w:sz w:val="22"/>
                <w:szCs w:val="22"/>
              </w:rPr>
              <w:t>to záměru</w:t>
            </w:r>
            <w:r w:rsidRPr="00D75881">
              <w:rPr>
                <w:rFonts w:ascii="Times" w:hAnsi="Times"/>
                <w:sz w:val="22"/>
                <w:szCs w:val="22"/>
              </w:rPr>
              <w:t xml:space="preserve"> je třeba se pokusit o interpretaci </w:t>
            </w:r>
            <w:r w:rsidRPr="00D75881">
              <w:rPr>
                <w:rFonts w:ascii="Times" w:hAnsi="Times"/>
                <w:i/>
                <w:sz w:val="22"/>
                <w:szCs w:val="22"/>
              </w:rPr>
              <w:t xml:space="preserve">fenoménu světa, </w:t>
            </w:r>
            <w:r w:rsidRPr="00D75881">
              <w:rPr>
                <w:rFonts w:ascii="Times" w:hAnsi="Times"/>
                <w:sz w:val="22"/>
                <w:szCs w:val="22"/>
              </w:rPr>
              <w:t>která by měla posloužit k</w:t>
            </w:r>
            <w:r w:rsidR="002E065B">
              <w:rPr>
                <w:rFonts w:ascii="Times" w:hAnsi="Times"/>
                <w:sz w:val="22"/>
                <w:szCs w:val="22"/>
              </w:rPr>
              <w:t> projasnění</w:t>
            </w:r>
            <w:r w:rsidR="002E065B">
              <w:rPr>
                <w:rStyle w:val="Kommentarzeichen"/>
              </w:rPr>
              <w:t xml:space="preserve"> </w:t>
            </w:r>
            <w:bookmarkStart w:id="0" w:name="_GoBack"/>
            <w:bookmarkEnd w:id="0"/>
            <w:r w:rsidRPr="00D75881">
              <w:rPr>
                <w:rFonts w:ascii="Times" w:hAnsi="Times"/>
                <w:sz w:val="22"/>
                <w:szCs w:val="22"/>
              </w:rPr>
              <w:t xml:space="preserve">transcendence jako takové.  </w:t>
            </w:r>
          </w:p>
          <w:p w14:paraId="2E188421" w14:textId="77777777" w:rsidR="007F4582" w:rsidRDefault="007F4582" w:rsidP="00AA7140">
            <w:pPr>
              <w:jc w:val="both"/>
              <w:rPr>
                <w:rFonts w:ascii="Times" w:hAnsi="Times"/>
                <w:sz w:val="22"/>
                <w:szCs w:val="22"/>
              </w:rPr>
            </w:pPr>
          </w:p>
          <w:p w14:paraId="7D91ABF8" w14:textId="1234F264" w:rsidR="007F4582" w:rsidRPr="007F4582" w:rsidRDefault="007F4582" w:rsidP="007F4582">
            <w:pPr>
              <w:ind w:left="1440"/>
              <w:jc w:val="right"/>
              <w:rPr>
                <w:rFonts w:ascii="Times" w:hAnsi="Times"/>
                <w:i/>
                <w:sz w:val="22"/>
                <w:szCs w:val="22"/>
              </w:rPr>
            </w:pPr>
            <w:r>
              <w:rPr>
                <w:rFonts w:ascii="Times" w:hAnsi="Times"/>
                <w:i/>
                <w:sz w:val="22"/>
                <w:szCs w:val="22"/>
              </w:rPr>
              <w:t>přel. Šimon Koukal</w:t>
            </w:r>
          </w:p>
          <w:p w14:paraId="7157492E" w14:textId="77777777" w:rsidR="00D75881" w:rsidRPr="00D75881" w:rsidRDefault="00D75881" w:rsidP="00AA7140">
            <w:pPr>
              <w:jc w:val="both"/>
              <w:rPr>
                <w:rFonts w:ascii="Times" w:hAnsi="Times"/>
                <w:sz w:val="22"/>
                <w:szCs w:val="22"/>
              </w:rPr>
            </w:pPr>
            <w:r w:rsidRPr="00D75881">
              <w:rPr>
                <w:rFonts w:ascii="Times" w:hAnsi="Times"/>
                <w:sz w:val="22"/>
                <w:szCs w:val="22"/>
              </w:rPr>
              <w:t xml:space="preserve">   </w:t>
            </w:r>
          </w:p>
          <w:p w14:paraId="3C9F595B" w14:textId="77777777" w:rsidR="00D75881" w:rsidRPr="00D75881" w:rsidRDefault="00D75881" w:rsidP="00AA7140">
            <w:pPr>
              <w:jc w:val="both"/>
              <w:rPr>
                <w:rFonts w:ascii="Times" w:hAnsi="Times"/>
                <w:sz w:val="22"/>
                <w:szCs w:val="22"/>
              </w:rPr>
            </w:pPr>
            <w:r w:rsidRPr="00D75881">
              <w:rPr>
                <w:rFonts w:ascii="Times" w:hAnsi="Times"/>
                <w:sz w:val="22"/>
                <w:szCs w:val="22"/>
              </w:rPr>
              <w:t xml:space="preserve"> </w:t>
            </w:r>
          </w:p>
          <w:p w14:paraId="4833C469" w14:textId="77777777" w:rsidR="00D75881" w:rsidRDefault="00D75881" w:rsidP="00AA7140">
            <w:pPr>
              <w:jc w:val="both"/>
              <w:rPr>
                <w:rFonts w:ascii="Times" w:hAnsi="Times"/>
                <w:sz w:val="22"/>
                <w:szCs w:val="22"/>
              </w:rPr>
            </w:pPr>
            <w:r w:rsidRPr="00D75881">
              <w:rPr>
                <w:rFonts w:ascii="Times" w:hAnsi="Times"/>
                <w:sz w:val="22"/>
                <w:szCs w:val="22"/>
              </w:rPr>
              <w:t xml:space="preserve"> </w:t>
            </w:r>
          </w:p>
          <w:p w14:paraId="0502CD82" w14:textId="77777777" w:rsidR="00D75881" w:rsidRDefault="00D75881" w:rsidP="00AA7140">
            <w:pPr>
              <w:jc w:val="both"/>
              <w:rPr>
                <w:rFonts w:ascii="Times" w:hAnsi="Times"/>
                <w:sz w:val="22"/>
                <w:szCs w:val="22"/>
              </w:rPr>
            </w:pPr>
          </w:p>
          <w:p w14:paraId="5792B424" w14:textId="77777777" w:rsidR="00D75881" w:rsidRDefault="00D75881" w:rsidP="00AA7140">
            <w:pPr>
              <w:jc w:val="both"/>
              <w:rPr>
                <w:rFonts w:ascii="Times" w:hAnsi="Times"/>
                <w:sz w:val="22"/>
                <w:szCs w:val="22"/>
              </w:rPr>
            </w:pPr>
          </w:p>
          <w:p w14:paraId="3215A098" w14:textId="77777777" w:rsidR="00D75881" w:rsidRDefault="00D75881" w:rsidP="00AA7140">
            <w:pPr>
              <w:jc w:val="both"/>
              <w:rPr>
                <w:rFonts w:ascii="Times" w:hAnsi="Times"/>
                <w:sz w:val="22"/>
                <w:szCs w:val="22"/>
              </w:rPr>
            </w:pPr>
          </w:p>
          <w:p w14:paraId="02BEC70E" w14:textId="77777777" w:rsidR="00D75881" w:rsidRDefault="00D75881" w:rsidP="00AA7140">
            <w:pPr>
              <w:jc w:val="both"/>
              <w:rPr>
                <w:rFonts w:ascii="Times" w:hAnsi="Times"/>
                <w:sz w:val="22"/>
                <w:szCs w:val="22"/>
              </w:rPr>
            </w:pPr>
            <w:r>
              <w:rPr>
                <w:rFonts w:ascii="Times" w:hAnsi="Times"/>
                <w:sz w:val="22"/>
                <w:szCs w:val="22"/>
              </w:rPr>
              <w:t xml:space="preserve">                                               </w:t>
            </w:r>
          </w:p>
          <w:p w14:paraId="1D544BE9" w14:textId="07A70932" w:rsidR="007F4582" w:rsidRPr="007F4582" w:rsidRDefault="00D75881" w:rsidP="007F4582">
            <w:pPr>
              <w:jc w:val="both"/>
              <w:rPr>
                <w:rFonts w:ascii="Times" w:hAnsi="Times"/>
                <w:i/>
                <w:sz w:val="22"/>
                <w:szCs w:val="22"/>
              </w:rPr>
            </w:pPr>
            <w:r>
              <w:rPr>
                <w:rFonts w:ascii="Times" w:hAnsi="Times"/>
                <w:sz w:val="22"/>
                <w:szCs w:val="22"/>
              </w:rPr>
              <w:t xml:space="preserve">              </w:t>
            </w:r>
            <w:r w:rsidR="007F4582">
              <w:rPr>
                <w:rFonts w:ascii="Times" w:hAnsi="Times"/>
                <w:sz w:val="22"/>
                <w:szCs w:val="22"/>
              </w:rPr>
              <w:t xml:space="preserve">                             </w:t>
            </w:r>
            <w:r>
              <w:rPr>
                <w:rFonts w:ascii="Times" w:hAnsi="Times"/>
                <w:sz w:val="22"/>
                <w:szCs w:val="22"/>
              </w:rPr>
              <w:t xml:space="preserve"> </w:t>
            </w:r>
          </w:p>
        </w:tc>
      </w:tr>
      <w:tr w:rsidR="00D75881" w:rsidRPr="00D75881" w14:paraId="191B4D52" w14:textId="77777777" w:rsidTr="00D75881">
        <w:tc>
          <w:tcPr>
            <w:tcW w:w="4528" w:type="dxa"/>
            <w:tcBorders>
              <w:top w:val="nil"/>
              <w:left w:val="nil"/>
              <w:bottom w:val="nil"/>
              <w:right w:val="nil"/>
            </w:tcBorders>
          </w:tcPr>
          <w:p w14:paraId="44D2BAC3" w14:textId="77777777" w:rsidR="00D75881" w:rsidRPr="00D75881" w:rsidRDefault="00D75881" w:rsidP="00AA7140">
            <w:pPr>
              <w:jc w:val="both"/>
              <w:rPr>
                <w:rFonts w:ascii="Times" w:hAnsi="Times"/>
                <w:sz w:val="22"/>
                <w:szCs w:val="22"/>
              </w:rPr>
            </w:pPr>
          </w:p>
        </w:tc>
        <w:tc>
          <w:tcPr>
            <w:tcW w:w="4528" w:type="dxa"/>
            <w:tcBorders>
              <w:top w:val="nil"/>
              <w:left w:val="nil"/>
              <w:bottom w:val="nil"/>
              <w:right w:val="nil"/>
            </w:tcBorders>
          </w:tcPr>
          <w:p w14:paraId="635398D7" w14:textId="77777777" w:rsidR="00D75881" w:rsidRPr="00D75881" w:rsidRDefault="00D75881" w:rsidP="00AA7140">
            <w:pPr>
              <w:jc w:val="both"/>
              <w:rPr>
                <w:rFonts w:ascii="Times" w:hAnsi="Times"/>
                <w:sz w:val="22"/>
                <w:szCs w:val="22"/>
              </w:rPr>
            </w:pPr>
          </w:p>
        </w:tc>
      </w:tr>
    </w:tbl>
    <w:p w14:paraId="79C7E2F5" w14:textId="77777777" w:rsidR="00D75881" w:rsidRPr="00D75881" w:rsidRDefault="00D75881">
      <w:pPr>
        <w:rPr>
          <w:sz w:val="22"/>
          <w:szCs w:val="22"/>
        </w:rPr>
      </w:pPr>
    </w:p>
    <w:sectPr w:rsidR="00D75881" w:rsidRPr="00D75881" w:rsidSect="004549E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6BACE" w14:textId="77777777" w:rsidR="00532D92" w:rsidRDefault="00532D92" w:rsidP="00D75881">
      <w:r>
        <w:separator/>
      </w:r>
    </w:p>
  </w:endnote>
  <w:endnote w:type="continuationSeparator" w:id="0">
    <w:p w14:paraId="5DC5D769" w14:textId="77777777" w:rsidR="00532D92" w:rsidRDefault="00532D92" w:rsidP="00D7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EB637" w14:textId="77777777" w:rsidR="00532D92" w:rsidRDefault="00532D92" w:rsidP="00D75881">
      <w:r>
        <w:separator/>
      </w:r>
    </w:p>
  </w:footnote>
  <w:footnote w:type="continuationSeparator" w:id="0">
    <w:p w14:paraId="084B2E9A" w14:textId="77777777" w:rsidR="00532D92" w:rsidRDefault="00532D92" w:rsidP="00D75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81"/>
    <w:rsid w:val="0000320E"/>
    <w:rsid w:val="00006485"/>
    <w:rsid w:val="000B5CB3"/>
    <w:rsid w:val="001126F9"/>
    <w:rsid w:val="00225803"/>
    <w:rsid w:val="00247A50"/>
    <w:rsid w:val="00286B3F"/>
    <w:rsid w:val="002B6BB5"/>
    <w:rsid w:val="002E065B"/>
    <w:rsid w:val="00306F05"/>
    <w:rsid w:val="00330478"/>
    <w:rsid w:val="00333AE4"/>
    <w:rsid w:val="003408B2"/>
    <w:rsid w:val="003A06CF"/>
    <w:rsid w:val="003F3762"/>
    <w:rsid w:val="004549E4"/>
    <w:rsid w:val="004A7747"/>
    <w:rsid w:val="004C1496"/>
    <w:rsid w:val="00532D92"/>
    <w:rsid w:val="005B190C"/>
    <w:rsid w:val="005F4542"/>
    <w:rsid w:val="0062194C"/>
    <w:rsid w:val="00651C07"/>
    <w:rsid w:val="00731E2A"/>
    <w:rsid w:val="007F4582"/>
    <w:rsid w:val="008D4A6A"/>
    <w:rsid w:val="009850B0"/>
    <w:rsid w:val="009850D4"/>
    <w:rsid w:val="00995EEE"/>
    <w:rsid w:val="009B6127"/>
    <w:rsid w:val="00A26869"/>
    <w:rsid w:val="00A704FE"/>
    <w:rsid w:val="00B174E7"/>
    <w:rsid w:val="00D164E8"/>
    <w:rsid w:val="00D75881"/>
    <w:rsid w:val="00E662B3"/>
    <w:rsid w:val="00EF6CD2"/>
    <w:rsid w:val="00F608C1"/>
    <w:rsid w:val="00F94383"/>
    <w:rsid w:val="00FD2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888E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7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995EEE"/>
    <w:rPr>
      <w:sz w:val="18"/>
      <w:szCs w:val="18"/>
    </w:rPr>
  </w:style>
  <w:style w:type="paragraph" w:styleId="Kommentartext">
    <w:name w:val="annotation text"/>
    <w:basedOn w:val="Standard"/>
    <w:link w:val="KommentartextZchn"/>
    <w:uiPriority w:val="99"/>
    <w:semiHidden/>
    <w:unhideWhenUsed/>
    <w:rsid w:val="00995EEE"/>
  </w:style>
  <w:style w:type="character" w:customStyle="1" w:styleId="KommentartextZchn">
    <w:name w:val="Kommentartext Zchn"/>
    <w:basedOn w:val="Absatz-Standardschriftart"/>
    <w:link w:val="Kommentartext"/>
    <w:uiPriority w:val="99"/>
    <w:semiHidden/>
    <w:rsid w:val="00995EEE"/>
    <w:rPr>
      <w:lang w:val="cs-CZ"/>
    </w:rPr>
  </w:style>
  <w:style w:type="paragraph" w:styleId="Kommentarthema">
    <w:name w:val="annotation subject"/>
    <w:basedOn w:val="Kommentartext"/>
    <w:next w:val="Kommentartext"/>
    <w:link w:val="KommentarthemaZchn"/>
    <w:uiPriority w:val="99"/>
    <w:semiHidden/>
    <w:unhideWhenUsed/>
    <w:rsid w:val="00995EEE"/>
    <w:rPr>
      <w:b/>
      <w:bCs/>
      <w:sz w:val="20"/>
      <w:szCs w:val="20"/>
    </w:rPr>
  </w:style>
  <w:style w:type="character" w:customStyle="1" w:styleId="KommentarthemaZchn">
    <w:name w:val="Kommentarthema Zchn"/>
    <w:basedOn w:val="KommentartextZchn"/>
    <w:link w:val="Kommentarthema"/>
    <w:uiPriority w:val="99"/>
    <w:semiHidden/>
    <w:rsid w:val="00995EEE"/>
    <w:rPr>
      <w:b/>
      <w:bCs/>
      <w:sz w:val="20"/>
      <w:szCs w:val="20"/>
      <w:lang w:val="cs-CZ"/>
    </w:rPr>
  </w:style>
  <w:style w:type="paragraph" w:styleId="Sprechblasentext">
    <w:name w:val="Balloon Text"/>
    <w:basedOn w:val="Standard"/>
    <w:link w:val="SprechblasentextZchn"/>
    <w:uiPriority w:val="99"/>
    <w:semiHidden/>
    <w:unhideWhenUsed/>
    <w:rsid w:val="00995EEE"/>
    <w:rPr>
      <w:sz w:val="18"/>
      <w:szCs w:val="18"/>
    </w:rPr>
  </w:style>
  <w:style w:type="character" w:customStyle="1" w:styleId="SprechblasentextZchn">
    <w:name w:val="Sprechblasentext Zchn"/>
    <w:basedOn w:val="Absatz-Standardschriftart"/>
    <w:link w:val="Sprechblasentext"/>
    <w:uiPriority w:val="99"/>
    <w:semiHidden/>
    <w:rsid w:val="00995EEE"/>
    <w:rPr>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3604</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3</cp:revision>
  <dcterms:created xsi:type="dcterms:W3CDTF">2017-11-18T11:22:00Z</dcterms:created>
  <dcterms:modified xsi:type="dcterms:W3CDTF">2017-11-18T13:10:00Z</dcterms:modified>
</cp:coreProperties>
</file>