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B154D" w14:textId="65FEC841" w:rsidR="009E1D4B" w:rsidRPr="00D75881" w:rsidRDefault="009E1D4B" w:rsidP="009E1D4B">
      <w:pPr>
        <w:jc w:val="center"/>
        <w:rPr>
          <w:rFonts w:ascii="Times" w:hAnsi="Times"/>
          <w:b/>
          <w:sz w:val="28"/>
          <w:szCs w:val="22"/>
        </w:rPr>
      </w:pPr>
      <w:r w:rsidRPr="00D75881">
        <w:rPr>
          <w:rFonts w:ascii="Times" w:hAnsi="Times"/>
          <w:b/>
          <w:sz w:val="28"/>
          <w:szCs w:val="22"/>
        </w:rPr>
        <w:t xml:space="preserve">M. </w:t>
      </w:r>
      <w:proofErr w:type="spellStart"/>
      <w:r w:rsidRPr="00D75881">
        <w:rPr>
          <w:rFonts w:ascii="Times" w:hAnsi="Times"/>
          <w:b/>
          <w:sz w:val="28"/>
          <w:szCs w:val="22"/>
        </w:rPr>
        <w:t>Heidegger</w:t>
      </w:r>
      <w:proofErr w:type="spellEnd"/>
      <w:r w:rsidRPr="00D75881">
        <w:rPr>
          <w:rFonts w:ascii="Times" w:hAnsi="Times"/>
          <w:b/>
          <w:sz w:val="28"/>
          <w:szCs w:val="22"/>
        </w:rPr>
        <w:t xml:space="preserve">, </w:t>
      </w:r>
      <w:proofErr w:type="spellStart"/>
      <w:r w:rsidRPr="00D75881">
        <w:rPr>
          <w:rFonts w:ascii="Times" w:hAnsi="Times"/>
          <w:b/>
          <w:i/>
          <w:sz w:val="28"/>
          <w:szCs w:val="22"/>
        </w:rPr>
        <w:t>Vom</w:t>
      </w:r>
      <w:proofErr w:type="spellEnd"/>
      <w:r w:rsidRPr="00D75881">
        <w:rPr>
          <w:rFonts w:ascii="Times" w:hAnsi="Times"/>
          <w:b/>
          <w:i/>
          <w:sz w:val="28"/>
          <w:szCs w:val="22"/>
        </w:rPr>
        <w:t xml:space="preserve"> </w:t>
      </w:r>
      <w:proofErr w:type="spellStart"/>
      <w:r w:rsidRPr="00D75881">
        <w:rPr>
          <w:rFonts w:ascii="Times" w:hAnsi="Times"/>
          <w:b/>
          <w:i/>
          <w:sz w:val="28"/>
          <w:szCs w:val="22"/>
        </w:rPr>
        <w:t>Wesen</w:t>
      </w:r>
      <w:proofErr w:type="spellEnd"/>
      <w:r w:rsidRPr="00D75881">
        <w:rPr>
          <w:rFonts w:ascii="Times" w:hAnsi="Times"/>
          <w:b/>
          <w:i/>
          <w:sz w:val="28"/>
          <w:szCs w:val="22"/>
        </w:rPr>
        <w:t xml:space="preserve"> des </w:t>
      </w:r>
      <w:proofErr w:type="spellStart"/>
      <w:r w:rsidRPr="00D75881">
        <w:rPr>
          <w:rFonts w:ascii="Times" w:hAnsi="Times"/>
          <w:b/>
          <w:i/>
          <w:sz w:val="28"/>
          <w:szCs w:val="22"/>
        </w:rPr>
        <w:t>Grundes</w:t>
      </w:r>
      <w:proofErr w:type="spellEnd"/>
      <w:r w:rsidRPr="00D75881">
        <w:rPr>
          <w:rFonts w:ascii="Times" w:hAnsi="Times"/>
          <w:b/>
          <w:i/>
          <w:sz w:val="28"/>
          <w:szCs w:val="22"/>
        </w:rPr>
        <w:t xml:space="preserve">, </w:t>
      </w:r>
      <w:r w:rsidRPr="00D75881">
        <w:rPr>
          <w:rFonts w:ascii="Times" w:hAnsi="Times"/>
          <w:b/>
          <w:sz w:val="28"/>
          <w:szCs w:val="22"/>
        </w:rPr>
        <w:t xml:space="preserve">§§ </w:t>
      </w:r>
      <w:r>
        <w:rPr>
          <w:rFonts w:ascii="Times" w:hAnsi="Times"/>
          <w:b/>
          <w:sz w:val="28"/>
          <w:szCs w:val="22"/>
        </w:rPr>
        <w:t>40-41</w:t>
      </w:r>
    </w:p>
    <w:p w14:paraId="65BB41E5" w14:textId="77777777" w:rsidR="009E1D4B" w:rsidRPr="009E1D4B" w:rsidRDefault="009E1D4B" w:rsidP="009E1D4B">
      <w:pPr>
        <w:jc w:val="both"/>
        <w:rPr>
          <w:rFonts w:ascii="Times" w:hAnsi="Times"/>
        </w:rPr>
      </w:pPr>
    </w:p>
    <w:p w14:paraId="5BDBD584" w14:textId="77777777" w:rsidR="009E1D4B" w:rsidRDefault="009E1D4B" w:rsidP="009E1D4B">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6970D3" w14:paraId="50C38D93" w14:textId="77777777" w:rsidTr="009E1D4B">
        <w:trPr>
          <w:trHeight w:val="4407"/>
        </w:trPr>
        <w:tc>
          <w:tcPr>
            <w:tcW w:w="4528" w:type="dxa"/>
          </w:tcPr>
          <w:p w14:paraId="3C26604A" w14:textId="77777777" w:rsidR="00123C59" w:rsidRDefault="006970D3" w:rsidP="009E1D4B">
            <w:pPr>
              <w:jc w:val="both"/>
              <w:rPr>
                <w:rFonts w:ascii="Times" w:hAnsi="Times"/>
                <w:lang w:val="de-DE"/>
              </w:rPr>
            </w:pPr>
            <w:r>
              <w:rPr>
                <w:rFonts w:ascii="Times" w:hAnsi="Times"/>
              </w:rPr>
              <w:t xml:space="preserve">Der </w:t>
            </w:r>
            <w:proofErr w:type="spellStart"/>
            <w:r>
              <w:rPr>
                <w:rFonts w:ascii="Times" w:hAnsi="Times"/>
              </w:rPr>
              <w:t>Satz</w:t>
            </w:r>
            <w:proofErr w:type="spellEnd"/>
            <w:r>
              <w:rPr>
                <w:rFonts w:ascii="Times" w:hAnsi="Times"/>
              </w:rPr>
              <w:t xml:space="preserve">: </w:t>
            </w:r>
            <w:proofErr w:type="spellStart"/>
            <w:r>
              <w:rPr>
                <w:rFonts w:ascii="Times" w:hAnsi="Times"/>
                <w:i/>
              </w:rPr>
              <w:t>Das</w:t>
            </w:r>
            <w:proofErr w:type="spellEnd"/>
            <w:r>
              <w:rPr>
                <w:rFonts w:ascii="Times" w:hAnsi="Times"/>
                <w:i/>
              </w:rPr>
              <w:t xml:space="preserve"> </w:t>
            </w:r>
            <w:proofErr w:type="spellStart"/>
            <w:r>
              <w:rPr>
                <w:rFonts w:ascii="Times" w:hAnsi="Times"/>
                <w:i/>
              </w:rPr>
              <w:t>Dasein</w:t>
            </w:r>
            <w:proofErr w:type="spellEnd"/>
            <w:r>
              <w:rPr>
                <w:rFonts w:ascii="Times" w:hAnsi="Times"/>
                <w:i/>
              </w:rPr>
              <w:t xml:space="preserve"> </w:t>
            </w:r>
            <w:proofErr w:type="spellStart"/>
            <w:r>
              <w:rPr>
                <w:rFonts w:ascii="Times" w:hAnsi="Times"/>
                <w:i/>
              </w:rPr>
              <w:t>existiert</w:t>
            </w:r>
            <w:proofErr w:type="spellEnd"/>
            <w:r>
              <w:rPr>
                <w:rFonts w:ascii="Times" w:hAnsi="Times"/>
                <w:i/>
              </w:rPr>
              <w:t xml:space="preserve"> </w:t>
            </w:r>
            <w:proofErr w:type="spellStart"/>
            <w:r>
              <w:rPr>
                <w:rFonts w:ascii="Times" w:hAnsi="Times"/>
                <w:i/>
              </w:rPr>
              <w:t>umwillen</w:t>
            </w:r>
            <w:proofErr w:type="spellEnd"/>
            <w:r>
              <w:rPr>
                <w:rFonts w:ascii="Times" w:hAnsi="Times"/>
                <w:i/>
              </w:rPr>
              <w:t xml:space="preserve"> </w:t>
            </w:r>
            <w:proofErr w:type="spellStart"/>
            <w:r>
              <w:rPr>
                <w:rFonts w:ascii="Times" w:hAnsi="Times"/>
                <w:i/>
              </w:rPr>
              <w:t>seiner</w:t>
            </w:r>
            <w:proofErr w:type="spellEnd"/>
            <w:r>
              <w:rPr>
                <w:rFonts w:ascii="Times" w:hAnsi="Times"/>
                <w:i/>
              </w:rPr>
              <w:t xml:space="preserve">, </w:t>
            </w:r>
            <w:proofErr w:type="spellStart"/>
            <w:r>
              <w:rPr>
                <w:rFonts w:ascii="Times" w:hAnsi="Times"/>
              </w:rPr>
              <w:t>enthält</w:t>
            </w:r>
            <w:proofErr w:type="spellEnd"/>
            <w:r>
              <w:rPr>
                <w:rFonts w:ascii="Times" w:hAnsi="Times"/>
              </w:rPr>
              <w:t xml:space="preserve"> </w:t>
            </w:r>
            <w:proofErr w:type="spellStart"/>
            <w:r>
              <w:rPr>
                <w:rFonts w:ascii="Times" w:hAnsi="Times"/>
              </w:rPr>
              <w:t>keine</w:t>
            </w:r>
            <w:proofErr w:type="spellEnd"/>
            <w:r>
              <w:rPr>
                <w:rFonts w:ascii="Times" w:hAnsi="Times"/>
              </w:rPr>
              <w:t xml:space="preserve"> </w:t>
            </w:r>
            <w:proofErr w:type="spellStart"/>
            <w:r>
              <w:rPr>
                <w:rFonts w:ascii="Times" w:hAnsi="Times"/>
              </w:rPr>
              <w:t>egoistisch-ontische</w:t>
            </w:r>
            <w:proofErr w:type="spellEnd"/>
            <w:r>
              <w:rPr>
                <w:rFonts w:ascii="Times" w:hAnsi="Times"/>
              </w:rPr>
              <w:t xml:space="preserve"> </w:t>
            </w:r>
            <w:proofErr w:type="spellStart"/>
            <w:r>
              <w:rPr>
                <w:rFonts w:ascii="Times" w:hAnsi="Times"/>
              </w:rPr>
              <w:t>Zwecksetzung</w:t>
            </w:r>
            <w:proofErr w:type="spellEnd"/>
            <w:r>
              <w:rPr>
                <w:rFonts w:ascii="Times" w:hAnsi="Times"/>
              </w:rPr>
              <w:t xml:space="preserve"> </w:t>
            </w:r>
            <w:proofErr w:type="spellStart"/>
            <w:r>
              <w:rPr>
                <w:rFonts w:ascii="Times" w:hAnsi="Times"/>
              </w:rPr>
              <w:t>für</w:t>
            </w:r>
            <w:proofErr w:type="spellEnd"/>
            <w:r>
              <w:rPr>
                <w:rFonts w:ascii="Times" w:hAnsi="Times"/>
              </w:rPr>
              <w:t xml:space="preserve"> </w:t>
            </w:r>
            <w:proofErr w:type="spellStart"/>
            <w:r>
              <w:rPr>
                <w:rFonts w:ascii="Times" w:hAnsi="Times"/>
              </w:rPr>
              <w:t>eine</w:t>
            </w:r>
            <w:proofErr w:type="spellEnd"/>
            <w:r>
              <w:rPr>
                <w:rFonts w:ascii="Times" w:hAnsi="Times"/>
              </w:rPr>
              <w:t xml:space="preserve"> </w:t>
            </w:r>
            <w:proofErr w:type="spellStart"/>
            <w:r>
              <w:rPr>
                <w:rFonts w:ascii="Times" w:hAnsi="Times"/>
              </w:rPr>
              <w:t>blinde</w:t>
            </w:r>
            <w:proofErr w:type="spellEnd"/>
            <w:r>
              <w:rPr>
                <w:rFonts w:ascii="Times" w:hAnsi="Times"/>
              </w:rPr>
              <w:t xml:space="preserve"> </w:t>
            </w:r>
            <w:proofErr w:type="spellStart"/>
            <w:r>
              <w:rPr>
                <w:rFonts w:ascii="Times" w:hAnsi="Times"/>
              </w:rPr>
              <w:t>Eigenliebe</w:t>
            </w:r>
            <w:proofErr w:type="spellEnd"/>
            <w:r>
              <w:rPr>
                <w:rFonts w:ascii="Times" w:hAnsi="Times"/>
              </w:rPr>
              <w:t xml:space="preserve"> des </w:t>
            </w:r>
            <w:proofErr w:type="spellStart"/>
            <w:r>
              <w:rPr>
                <w:rFonts w:ascii="Times" w:hAnsi="Times"/>
              </w:rPr>
              <w:t>jeweils</w:t>
            </w:r>
            <w:proofErr w:type="spellEnd"/>
            <w:r>
              <w:rPr>
                <w:rFonts w:ascii="Times" w:hAnsi="Times"/>
              </w:rPr>
              <w:t xml:space="preserve"> </w:t>
            </w:r>
            <w:proofErr w:type="spellStart"/>
            <w:r>
              <w:rPr>
                <w:rFonts w:ascii="Times" w:hAnsi="Times"/>
              </w:rPr>
              <w:t>faktischen</w:t>
            </w:r>
            <w:proofErr w:type="spellEnd"/>
            <w:r>
              <w:rPr>
                <w:rFonts w:ascii="Times" w:hAnsi="Times"/>
              </w:rPr>
              <w:t xml:space="preserve"> </w:t>
            </w:r>
            <w:proofErr w:type="spellStart"/>
            <w:r>
              <w:rPr>
                <w:rFonts w:ascii="Times" w:hAnsi="Times"/>
              </w:rPr>
              <w:t>Menschen</w:t>
            </w:r>
            <w:proofErr w:type="spellEnd"/>
            <w:r>
              <w:rPr>
                <w:rFonts w:ascii="Times" w:hAnsi="Times"/>
              </w:rPr>
              <w:t xml:space="preserve">. Er kann </w:t>
            </w:r>
            <w:proofErr w:type="spellStart"/>
            <w:r>
              <w:rPr>
                <w:rFonts w:ascii="Times" w:hAnsi="Times"/>
              </w:rPr>
              <w:t>daher</w:t>
            </w:r>
            <w:proofErr w:type="spellEnd"/>
            <w:r>
              <w:rPr>
                <w:rFonts w:ascii="Times" w:hAnsi="Times"/>
              </w:rPr>
              <w:t xml:space="preserve"> </w:t>
            </w:r>
            <w:proofErr w:type="spellStart"/>
            <w:r>
              <w:rPr>
                <w:rFonts w:ascii="Times" w:hAnsi="Times"/>
              </w:rPr>
              <w:t>nicht</w:t>
            </w:r>
            <w:proofErr w:type="spellEnd"/>
            <w:r>
              <w:rPr>
                <w:rFonts w:ascii="Times" w:hAnsi="Times"/>
              </w:rPr>
              <w:t xml:space="preserve"> </w:t>
            </w:r>
            <w:proofErr w:type="spellStart"/>
            <w:r>
              <w:rPr>
                <w:rFonts w:ascii="Times" w:hAnsi="Times"/>
              </w:rPr>
              <w:t>etwa</w:t>
            </w:r>
            <w:proofErr w:type="spellEnd"/>
            <w:r>
              <w:rPr>
                <w:rFonts w:ascii="Times" w:hAnsi="Times"/>
              </w:rPr>
              <w:t xml:space="preserve"> durch den </w:t>
            </w:r>
            <w:proofErr w:type="spellStart"/>
            <w:r>
              <w:rPr>
                <w:rFonts w:ascii="Times" w:hAnsi="Times"/>
              </w:rPr>
              <w:t>Hinweis</w:t>
            </w:r>
            <w:proofErr w:type="spellEnd"/>
            <w:r>
              <w:rPr>
                <w:rFonts w:ascii="Times" w:hAnsi="Times"/>
              </w:rPr>
              <w:t xml:space="preserve"> </w:t>
            </w:r>
            <w:proofErr w:type="spellStart"/>
            <w:r w:rsidR="005F5158">
              <w:rPr>
                <w:rFonts w:ascii="Times" w:hAnsi="Times"/>
              </w:rPr>
              <w:t>darauf</w:t>
            </w:r>
            <w:proofErr w:type="spellEnd"/>
            <w:r w:rsidR="005F5158">
              <w:rPr>
                <w:rFonts w:ascii="Times" w:hAnsi="Times"/>
              </w:rPr>
              <w:t xml:space="preserve"> </w:t>
            </w:r>
            <w:r w:rsidR="005F5158">
              <w:rPr>
                <w:rFonts w:ascii="Times" w:hAnsi="Times"/>
                <w:lang w:val="de-DE"/>
              </w:rPr>
              <w:t xml:space="preserve">»widerlegt« </w:t>
            </w:r>
            <w:proofErr w:type="spellStart"/>
            <w:r w:rsidR="005F5158">
              <w:rPr>
                <w:rFonts w:ascii="Times" w:hAnsi="Times"/>
              </w:rPr>
              <w:t>werden</w:t>
            </w:r>
            <w:proofErr w:type="spellEnd"/>
            <w:r w:rsidR="005F5158">
              <w:rPr>
                <w:rFonts w:ascii="Times" w:hAnsi="Times"/>
              </w:rPr>
              <w:t xml:space="preserve">, </w:t>
            </w:r>
            <w:proofErr w:type="spellStart"/>
            <w:r w:rsidR="005F5158">
              <w:rPr>
                <w:rFonts w:ascii="Times" w:hAnsi="Times"/>
              </w:rPr>
              <w:t>daß</w:t>
            </w:r>
            <w:proofErr w:type="spellEnd"/>
            <w:r w:rsidR="005F5158">
              <w:rPr>
                <w:rFonts w:ascii="Times" w:hAnsi="Times"/>
              </w:rPr>
              <w:t xml:space="preserve"> </w:t>
            </w:r>
            <w:proofErr w:type="spellStart"/>
            <w:r w:rsidR="005F5158">
              <w:rPr>
                <w:rFonts w:ascii="Times" w:hAnsi="Times"/>
              </w:rPr>
              <w:t>viele</w:t>
            </w:r>
            <w:proofErr w:type="spellEnd"/>
            <w:r w:rsidR="005F5158">
              <w:rPr>
                <w:rFonts w:ascii="Times" w:hAnsi="Times"/>
              </w:rPr>
              <w:t xml:space="preserve"> </w:t>
            </w:r>
            <w:proofErr w:type="spellStart"/>
            <w:r w:rsidR="005F5158">
              <w:rPr>
                <w:rFonts w:ascii="Times" w:hAnsi="Times"/>
              </w:rPr>
              <w:t>Menschen</w:t>
            </w:r>
            <w:proofErr w:type="spellEnd"/>
            <w:r w:rsidR="005F5158">
              <w:rPr>
                <w:rFonts w:ascii="Times" w:hAnsi="Times"/>
              </w:rPr>
              <w:t xml:space="preserve"> </w:t>
            </w:r>
            <w:proofErr w:type="spellStart"/>
            <w:r w:rsidR="005F5158">
              <w:rPr>
                <w:rFonts w:ascii="Times" w:hAnsi="Times"/>
              </w:rPr>
              <w:t>sich</w:t>
            </w:r>
            <w:proofErr w:type="spellEnd"/>
            <w:r w:rsidR="005F5158">
              <w:rPr>
                <w:rFonts w:ascii="Times" w:hAnsi="Times"/>
              </w:rPr>
              <w:t xml:space="preserve"> </w:t>
            </w:r>
            <w:proofErr w:type="spellStart"/>
            <w:r w:rsidR="005F5158" w:rsidRPr="005F5158">
              <w:rPr>
                <w:rFonts w:ascii="Times" w:hAnsi="Times"/>
                <w:i/>
              </w:rPr>
              <w:t>für</w:t>
            </w:r>
            <w:proofErr w:type="spellEnd"/>
            <w:r w:rsidR="005F5158" w:rsidRPr="005F5158">
              <w:rPr>
                <w:rFonts w:ascii="Times" w:hAnsi="Times"/>
                <w:i/>
              </w:rPr>
              <w:t xml:space="preserve"> </w:t>
            </w:r>
            <w:proofErr w:type="spellStart"/>
            <w:r w:rsidR="005F5158" w:rsidRPr="005F5158">
              <w:rPr>
                <w:rFonts w:ascii="Times" w:hAnsi="Times"/>
                <w:i/>
              </w:rPr>
              <w:t>die</w:t>
            </w:r>
            <w:proofErr w:type="spellEnd"/>
            <w:r w:rsidR="005F5158" w:rsidRPr="005F5158">
              <w:rPr>
                <w:rFonts w:ascii="Times" w:hAnsi="Times"/>
                <w:i/>
              </w:rPr>
              <w:t xml:space="preserve"> </w:t>
            </w:r>
            <w:proofErr w:type="spellStart"/>
            <w:r w:rsidR="005F5158" w:rsidRPr="005F5158">
              <w:rPr>
                <w:rFonts w:ascii="Times" w:hAnsi="Times"/>
                <w:i/>
              </w:rPr>
              <w:t>Andern</w:t>
            </w:r>
            <w:proofErr w:type="spellEnd"/>
            <w:r w:rsidR="005F5158">
              <w:rPr>
                <w:rFonts w:ascii="Times" w:hAnsi="Times"/>
              </w:rPr>
              <w:t xml:space="preserve"> </w:t>
            </w:r>
            <w:proofErr w:type="spellStart"/>
            <w:r w:rsidR="005F5158">
              <w:rPr>
                <w:rFonts w:ascii="Times" w:hAnsi="Times"/>
              </w:rPr>
              <w:t>opfern</w:t>
            </w:r>
            <w:proofErr w:type="spellEnd"/>
            <w:r w:rsidR="005F5158">
              <w:rPr>
                <w:rFonts w:ascii="Times" w:hAnsi="Times"/>
              </w:rPr>
              <w:t xml:space="preserve"> </w:t>
            </w:r>
            <w:proofErr w:type="spellStart"/>
            <w:r w:rsidR="005F5158">
              <w:rPr>
                <w:rFonts w:ascii="Times" w:hAnsi="Times"/>
              </w:rPr>
              <w:t>und</w:t>
            </w:r>
            <w:proofErr w:type="spellEnd"/>
            <w:r w:rsidR="005F5158">
              <w:rPr>
                <w:rFonts w:ascii="Times" w:hAnsi="Times"/>
              </w:rPr>
              <w:t xml:space="preserve"> </w:t>
            </w:r>
            <w:proofErr w:type="spellStart"/>
            <w:r w:rsidR="005F5158">
              <w:rPr>
                <w:rFonts w:ascii="Times" w:hAnsi="Times"/>
              </w:rPr>
              <w:t>daß</w:t>
            </w:r>
            <w:proofErr w:type="spellEnd"/>
            <w:r w:rsidR="005F5158">
              <w:rPr>
                <w:rFonts w:ascii="Times" w:hAnsi="Times"/>
              </w:rPr>
              <w:t xml:space="preserve"> </w:t>
            </w:r>
            <w:proofErr w:type="spellStart"/>
            <w:r w:rsidR="005F5158">
              <w:rPr>
                <w:rFonts w:ascii="Times" w:hAnsi="Times"/>
              </w:rPr>
              <w:t>überhaupt</w:t>
            </w:r>
            <w:proofErr w:type="spellEnd"/>
            <w:r w:rsidR="005F5158">
              <w:rPr>
                <w:rFonts w:ascii="Times" w:hAnsi="Times"/>
              </w:rPr>
              <w:t xml:space="preserve"> </w:t>
            </w:r>
            <w:proofErr w:type="spellStart"/>
            <w:r w:rsidR="005F5158">
              <w:rPr>
                <w:rFonts w:ascii="Times" w:hAnsi="Times"/>
              </w:rPr>
              <w:t>die</w:t>
            </w:r>
            <w:proofErr w:type="spellEnd"/>
            <w:r w:rsidR="005F5158">
              <w:rPr>
                <w:rFonts w:ascii="Times" w:hAnsi="Times"/>
              </w:rPr>
              <w:t xml:space="preserve"> </w:t>
            </w:r>
            <w:proofErr w:type="spellStart"/>
            <w:r w:rsidR="005F5158">
              <w:rPr>
                <w:rFonts w:ascii="Times" w:hAnsi="Times"/>
              </w:rPr>
              <w:t>Menschen</w:t>
            </w:r>
            <w:proofErr w:type="spellEnd"/>
            <w:r w:rsidR="005F5158">
              <w:rPr>
                <w:rFonts w:ascii="Times" w:hAnsi="Times"/>
              </w:rPr>
              <w:t xml:space="preserve"> </w:t>
            </w:r>
            <w:proofErr w:type="spellStart"/>
            <w:r w:rsidR="005F5158">
              <w:rPr>
                <w:rFonts w:ascii="Times" w:hAnsi="Times"/>
              </w:rPr>
              <w:t>nicht</w:t>
            </w:r>
            <w:proofErr w:type="spellEnd"/>
            <w:r w:rsidR="005F5158">
              <w:rPr>
                <w:rFonts w:ascii="Times" w:hAnsi="Times"/>
              </w:rPr>
              <w:t xml:space="preserve"> </w:t>
            </w:r>
            <w:proofErr w:type="spellStart"/>
            <w:r w:rsidR="005F5158">
              <w:rPr>
                <w:rFonts w:ascii="Times" w:hAnsi="Times"/>
              </w:rPr>
              <w:t>nur</w:t>
            </w:r>
            <w:proofErr w:type="spellEnd"/>
            <w:r w:rsidR="005F5158">
              <w:rPr>
                <w:rFonts w:ascii="Times" w:hAnsi="Times"/>
              </w:rPr>
              <w:t xml:space="preserve"> </w:t>
            </w:r>
            <w:proofErr w:type="spellStart"/>
            <w:r w:rsidR="005F5158">
              <w:rPr>
                <w:rFonts w:ascii="Times" w:hAnsi="Times"/>
              </w:rPr>
              <w:t>für</w:t>
            </w:r>
            <w:proofErr w:type="spellEnd"/>
            <w:r w:rsidR="005F5158">
              <w:rPr>
                <w:rFonts w:ascii="Times" w:hAnsi="Times"/>
              </w:rPr>
              <w:t xml:space="preserve"> </w:t>
            </w:r>
            <w:proofErr w:type="spellStart"/>
            <w:r w:rsidR="005F5158">
              <w:rPr>
                <w:rFonts w:ascii="Times" w:hAnsi="Times"/>
              </w:rPr>
              <w:t>sich</w:t>
            </w:r>
            <w:proofErr w:type="spellEnd"/>
            <w:r w:rsidR="005F5158">
              <w:rPr>
                <w:rFonts w:ascii="Times" w:hAnsi="Times"/>
              </w:rPr>
              <w:t xml:space="preserve"> </w:t>
            </w:r>
            <w:proofErr w:type="spellStart"/>
            <w:r w:rsidR="005F5158">
              <w:rPr>
                <w:rFonts w:ascii="Times" w:hAnsi="Times"/>
              </w:rPr>
              <w:t>allein</w:t>
            </w:r>
            <w:proofErr w:type="spellEnd"/>
            <w:r w:rsidR="005F5158">
              <w:rPr>
                <w:rFonts w:ascii="Times" w:hAnsi="Times"/>
              </w:rPr>
              <w:t xml:space="preserve">, </w:t>
            </w:r>
            <w:proofErr w:type="spellStart"/>
            <w:r w:rsidR="005F5158">
              <w:rPr>
                <w:rFonts w:ascii="Times" w:hAnsi="Times"/>
              </w:rPr>
              <w:t>sondern</w:t>
            </w:r>
            <w:proofErr w:type="spellEnd"/>
            <w:r w:rsidR="005F5158">
              <w:rPr>
                <w:rFonts w:ascii="Times" w:hAnsi="Times"/>
              </w:rPr>
              <w:t xml:space="preserve"> in </w:t>
            </w:r>
            <w:proofErr w:type="spellStart"/>
            <w:r w:rsidR="005F5158">
              <w:rPr>
                <w:rFonts w:ascii="Times" w:hAnsi="Times"/>
              </w:rPr>
              <w:t>Gemeinschaft</w:t>
            </w:r>
            <w:proofErr w:type="spellEnd"/>
            <w:r w:rsidR="005F5158">
              <w:rPr>
                <w:rFonts w:ascii="Times" w:hAnsi="Times"/>
              </w:rPr>
              <w:t xml:space="preserve"> </w:t>
            </w:r>
            <w:proofErr w:type="spellStart"/>
            <w:r w:rsidR="005F5158">
              <w:rPr>
                <w:rFonts w:ascii="Times" w:hAnsi="Times"/>
              </w:rPr>
              <w:t>existieren</w:t>
            </w:r>
            <w:proofErr w:type="spellEnd"/>
            <w:r w:rsidR="005F5158">
              <w:rPr>
                <w:rFonts w:ascii="Times" w:hAnsi="Times"/>
              </w:rPr>
              <w:t>.</w:t>
            </w:r>
            <w:r w:rsidR="00E537FE">
              <w:rPr>
                <w:rFonts w:ascii="Times" w:hAnsi="Times"/>
              </w:rPr>
              <w:t xml:space="preserve"> In dem </w:t>
            </w:r>
            <w:proofErr w:type="spellStart"/>
            <w:r w:rsidR="00E537FE">
              <w:rPr>
                <w:rFonts w:ascii="Times" w:hAnsi="Times"/>
              </w:rPr>
              <w:t>gannanten</w:t>
            </w:r>
            <w:proofErr w:type="spellEnd"/>
            <w:r w:rsidR="00E537FE">
              <w:rPr>
                <w:rFonts w:ascii="Times" w:hAnsi="Times"/>
              </w:rPr>
              <w:t xml:space="preserve"> </w:t>
            </w:r>
            <w:proofErr w:type="spellStart"/>
            <w:r w:rsidR="00E537FE">
              <w:rPr>
                <w:rFonts w:ascii="Times" w:hAnsi="Times"/>
              </w:rPr>
              <w:t>Satz</w:t>
            </w:r>
            <w:proofErr w:type="spellEnd"/>
            <w:r w:rsidR="00E537FE">
              <w:rPr>
                <w:rFonts w:ascii="Times" w:hAnsi="Times"/>
              </w:rPr>
              <w:t xml:space="preserve"> </w:t>
            </w:r>
            <w:proofErr w:type="spellStart"/>
            <w:r w:rsidR="00E537FE">
              <w:rPr>
                <w:rFonts w:ascii="Times" w:hAnsi="Times"/>
              </w:rPr>
              <w:t>liegt</w:t>
            </w:r>
            <w:proofErr w:type="spellEnd"/>
            <w:r w:rsidR="00E537FE">
              <w:rPr>
                <w:rFonts w:ascii="Times" w:hAnsi="Times"/>
              </w:rPr>
              <w:t xml:space="preserve"> </w:t>
            </w:r>
            <w:proofErr w:type="spellStart"/>
            <w:r w:rsidR="00E537FE">
              <w:rPr>
                <w:rFonts w:ascii="Times" w:hAnsi="Times"/>
              </w:rPr>
              <w:t>weder</w:t>
            </w:r>
            <w:proofErr w:type="spellEnd"/>
            <w:r w:rsidR="00E537FE">
              <w:rPr>
                <w:rFonts w:ascii="Times" w:hAnsi="Times"/>
              </w:rPr>
              <w:t xml:space="preserve"> </w:t>
            </w:r>
            <w:proofErr w:type="spellStart"/>
            <w:r w:rsidR="00E537FE">
              <w:rPr>
                <w:rFonts w:ascii="Times" w:hAnsi="Times"/>
              </w:rPr>
              <w:t>eine</w:t>
            </w:r>
            <w:proofErr w:type="spellEnd"/>
            <w:r w:rsidR="00E537FE">
              <w:rPr>
                <w:rFonts w:ascii="Times" w:hAnsi="Times"/>
              </w:rPr>
              <w:t xml:space="preserve"> </w:t>
            </w:r>
            <w:proofErr w:type="spellStart"/>
            <w:r w:rsidR="00E537FE">
              <w:rPr>
                <w:rFonts w:ascii="Times" w:hAnsi="Times"/>
              </w:rPr>
              <w:t>solipsistische</w:t>
            </w:r>
            <w:proofErr w:type="spellEnd"/>
            <w:r w:rsidR="00E537FE">
              <w:rPr>
                <w:rFonts w:ascii="Times" w:hAnsi="Times"/>
              </w:rPr>
              <w:t xml:space="preserve"> </w:t>
            </w:r>
            <w:proofErr w:type="spellStart"/>
            <w:r w:rsidR="00E537FE">
              <w:rPr>
                <w:rFonts w:ascii="Times" w:hAnsi="Times"/>
              </w:rPr>
              <w:t>Isolierung</w:t>
            </w:r>
            <w:proofErr w:type="spellEnd"/>
            <w:r w:rsidR="00E537FE">
              <w:rPr>
                <w:rFonts w:ascii="Times" w:hAnsi="Times"/>
              </w:rPr>
              <w:t xml:space="preserve"> des </w:t>
            </w:r>
            <w:proofErr w:type="spellStart"/>
            <w:r w:rsidR="00E537FE">
              <w:rPr>
                <w:rFonts w:ascii="Times" w:hAnsi="Times"/>
              </w:rPr>
              <w:t>Daseins</w:t>
            </w:r>
            <w:proofErr w:type="spellEnd"/>
            <w:r w:rsidR="00E537FE">
              <w:rPr>
                <w:rFonts w:ascii="Times" w:hAnsi="Times"/>
              </w:rPr>
              <w:t xml:space="preserve">, </w:t>
            </w:r>
            <w:proofErr w:type="spellStart"/>
            <w:r w:rsidR="00E537FE">
              <w:rPr>
                <w:rFonts w:ascii="Times" w:hAnsi="Times"/>
              </w:rPr>
              <w:t>noch</w:t>
            </w:r>
            <w:proofErr w:type="spellEnd"/>
            <w:r w:rsidR="00E537FE">
              <w:rPr>
                <w:rFonts w:ascii="Times" w:hAnsi="Times"/>
              </w:rPr>
              <w:t xml:space="preserve"> </w:t>
            </w:r>
            <w:proofErr w:type="spellStart"/>
            <w:r w:rsidR="00E537FE">
              <w:rPr>
                <w:rFonts w:ascii="Times" w:hAnsi="Times"/>
              </w:rPr>
              <w:t>eine</w:t>
            </w:r>
            <w:proofErr w:type="spellEnd"/>
            <w:r w:rsidR="00E537FE">
              <w:rPr>
                <w:rFonts w:ascii="Times" w:hAnsi="Times"/>
              </w:rPr>
              <w:t xml:space="preserve"> </w:t>
            </w:r>
            <w:proofErr w:type="spellStart"/>
            <w:r w:rsidR="00E537FE">
              <w:rPr>
                <w:rFonts w:ascii="Times" w:hAnsi="Times"/>
              </w:rPr>
              <w:t>egoistische</w:t>
            </w:r>
            <w:proofErr w:type="spellEnd"/>
            <w:r w:rsidR="00E537FE">
              <w:rPr>
                <w:rFonts w:ascii="Times" w:hAnsi="Times"/>
              </w:rPr>
              <w:t xml:space="preserve"> </w:t>
            </w:r>
            <w:proofErr w:type="spellStart"/>
            <w:r w:rsidR="00E537FE">
              <w:rPr>
                <w:rFonts w:ascii="Times" w:hAnsi="Times"/>
              </w:rPr>
              <w:t>Aufsteigerung</w:t>
            </w:r>
            <w:proofErr w:type="spellEnd"/>
            <w:r w:rsidR="00E537FE">
              <w:rPr>
                <w:rFonts w:ascii="Times" w:hAnsi="Times"/>
              </w:rPr>
              <w:t xml:space="preserve"> </w:t>
            </w:r>
            <w:proofErr w:type="spellStart"/>
            <w:r w:rsidR="00E537FE">
              <w:rPr>
                <w:rFonts w:ascii="Times" w:hAnsi="Times"/>
              </w:rPr>
              <w:t>desselben</w:t>
            </w:r>
            <w:proofErr w:type="spellEnd"/>
            <w:r w:rsidR="00E537FE">
              <w:rPr>
                <w:rFonts w:ascii="Times" w:hAnsi="Times"/>
              </w:rPr>
              <w:t xml:space="preserve">. </w:t>
            </w:r>
            <w:proofErr w:type="spellStart"/>
            <w:r w:rsidR="00896809">
              <w:rPr>
                <w:rFonts w:ascii="Times" w:hAnsi="Times"/>
              </w:rPr>
              <w:t>Wohl</w:t>
            </w:r>
            <w:proofErr w:type="spellEnd"/>
            <w:r w:rsidR="00896809">
              <w:rPr>
                <w:rFonts w:ascii="Times" w:hAnsi="Times"/>
              </w:rPr>
              <w:t xml:space="preserve"> </w:t>
            </w:r>
            <w:proofErr w:type="spellStart"/>
            <w:r w:rsidR="00896809">
              <w:rPr>
                <w:rFonts w:ascii="Times" w:hAnsi="Times"/>
              </w:rPr>
              <w:t>dagegen</w:t>
            </w:r>
            <w:proofErr w:type="spellEnd"/>
            <w:r w:rsidR="00896809">
              <w:rPr>
                <w:rFonts w:ascii="Times" w:hAnsi="Times"/>
              </w:rPr>
              <w:t xml:space="preserve"> </w:t>
            </w:r>
            <w:proofErr w:type="spellStart"/>
            <w:r w:rsidR="00896809">
              <w:rPr>
                <w:rFonts w:ascii="Times" w:hAnsi="Times"/>
              </w:rPr>
              <w:t>gibt</w:t>
            </w:r>
            <w:proofErr w:type="spellEnd"/>
            <w:r w:rsidR="00896809">
              <w:rPr>
                <w:rFonts w:ascii="Times" w:hAnsi="Times"/>
              </w:rPr>
              <w:t xml:space="preserve"> </w:t>
            </w:r>
            <w:proofErr w:type="spellStart"/>
            <w:r w:rsidR="00896809">
              <w:rPr>
                <w:rFonts w:ascii="Times" w:hAnsi="Times"/>
              </w:rPr>
              <w:t>er</w:t>
            </w:r>
            <w:proofErr w:type="spellEnd"/>
            <w:r w:rsidR="00896809">
              <w:rPr>
                <w:rFonts w:ascii="Times" w:hAnsi="Times"/>
              </w:rPr>
              <w:t xml:space="preserve"> </w:t>
            </w:r>
            <w:proofErr w:type="spellStart"/>
            <w:r w:rsidR="00896809">
              <w:rPr>
                <w:rFonts w:ascii="Times" w:hAnsi="Times"/>
              </w:rPr>
              <w:t>die</w:t>
            </w:r>
            <w:proofErr w:type="spellEnd"/>
            <w:r w:rsidR="00896809">
              <w:rPr>
                <w:rFonts w:ascii="Times" w:hAnsi="Times"/>
              </w:rPr>
              <w:t xml:space="preserve"> </w:t>
            </w:r>
            <w:proofErr w:type="spellStart"/>
            <w:r w:rsidR="00896809">
              <w:rPr>
                <w:rFonts w:ascii="Times" w:hAnsi="Times"/>
              </w:rPr>
              <w:t>Bedingung</w:t>
            </w:r>
            <w:proofErr w:type="spellEnd"/>
            <w:r w:rsidR="00896809">
              <w:rPr>
                <w:rFonts w:ascii="Times" w:hAnsi="Times"/>
              </w:rPr>
              <w:t xml:space="preserve"> der </w:t>
            </w:r>
            <w:proofErr w:type="spellStart"/>
            <w:r w:rsidR="00896809">
              <w:rPr>
                <w:rFonts w:ascii="Times" w:hAnsi="Times"/>
              </w:rPr>
              <w:t>Möhlichkeit</w:t>
            </w:r>
            <w:proofErr w:type="spellEnd"/>
            <w:r w:rsidR="00896809">
              <w:rPr>
                <w:rFonts w:ascii="Times" w:hAnsi="Times"/>
              </w:rPr>
              <w:t xml:space="preserve"> </w:t>
            </w:r>
            <w:proofErr w:type="spellStart"/>
            <w:r w:rsidR="00896809">
              <w:rPr>
                <w:rFonts w:ascii="Times" w:hAnsi="Times"/>
              </w:rPr>
              <w:t>dafür</w:t>
            </w:r>
            <w:proofErr w:type="spellEnd"/>
            <w:r w:rsidR="00896809">
              <w:rPr>
                <w:rFonts w:ascii="Times" w:hAnsi="Times"/>
              </w:rPr>
              <w:t xml:space="preserve">, </w:t>
            </w:r>
            <w:proofErr w:type="spellStart"/>
            <w:r w:rsidR="00896809">
              <w:rPr>
                <w:rFonts w:ascii="Times" w:hAnsi="Times"/>
              </w:rPr>
              <w:t>daß</w:t>
            </w:r>
            <w:proofErr w:type="spellEnd"/>
            <w:r w:rsidR="00896809">
              <w:rPr>
                <w:rFonts w:ascii="Times" w:hAnsi="Times"/>
              </w:rPr>
              <w:t xml:space="preserve"> der </w:t>
            </w:r>
            <w:proofErr w:type="spellStart"/>
            <w:r w:rsidR="00896809">
              <w:rPr>
                <w:rFonts w:ascii="Times" w:hAnsi="Times"/>
              </w:rPr>
              <w:t>Mench</w:t>
            </w:r>
            <w:proofErr w:type="spellEnd"/>
            <w:r w:rsidR="00896809">
              <w:rPr>
                <w:rFonts w:ascii="Times" w:hAnsi="Times"/>
              </w:rPr>
              <w:t xml:space="preserve"> </w:t>
            </w:r>
            <w:r w:rsidR="00896809">
              <w:rPr>
                <w:rFonts w:ascii="Times" w:hAnsi="Times"/>
                <w:lang w:val="de-DE"/>
              </w:rPr>
              <w:t xml:space="preserve">»sich« </w:t>
            </w:r>
            <w:r w:rsidR="00896809">
              <w:rPr>
                <w:rFonts w:ascii="Times" w:hAnsi="Times"/>
                <w:i/>
                <w:lang w:val="de-DE"/>
              </w:rPr>
              <w:t xml:space="preserve">entweder </w:t>
            </w:r>
            <w:r w:rsidR="00896809">
              <w:rPr>
                <w:rFonts w:ascii="Times" w:hAnsi="Times"/>
                <w:lang w:val="de-DE"/>
              </w:rPr>
              <w:t xml:space="preserve">»egoistisch« </w:t>
            </w:r>
            <w:r w:rsidR="00896809" w:rsidRPr="00896809">
              <w:rPr>
                <w:rFonts w:ascii="Times" w:hAnsi="Times"/>
                <w:i/>
                <w:lang w:val="de-DE"/>
              </w:rPr>
              <w:t>oder</w:t>
            </w:r>
            <w:r w:rsidR="00896809">
              <w:rPr>
                <w:rFonts w:ascii="Times" w:hAnsi="Times"/>
                <w:lang w:val="de-DE"/>
              </w:rPr>
              <w:t xml:space="preserve"> »altruistisch« verhalten kann. Nur weil Dasein als solches durch Selbstheit bestimmt ist, kann sich ein Ich-selbst zu einem Du-selbst verhalten.</w:t>
            </w:r>
            <w:r w:rsidR="004A0EA8">
              <w:rPr>
                <w:rFonts w:ascii="Times" w:hAnsi="Times"/>
                <w:lang w:val="de-DE"/>
              </w:rPr>
              <w:t xml:space="preserve"> Selbstheit ist die Voraussetzung für die Möglichkeit der </w:t>
            </w:r>
            <w:proofErr w:type="spellStart"/>
            <w:r w:rsidR="004A0EA8">
              <w:rPr>
                <w:rFonts w:ascii="Times" w:hAnsi="Times"/>
                <w:lang w:val="de-DE"/>
              </w:rPr>
              <w:t>Ichheit</w:t>
            </w:r>
            <w:proofErr w:type="spellEnd"/>
            <w:r w:rsidR="004A0EA8">
              <w:rPr>
                <w:rFonts w:ascii="Times" w:hAnsi="Times"/>
                <w:lang w:val="de-DE"/>
              </w:rPr>
              <w:t xml:space="preserve">, die immer nur in Du sich erschließt. Nie aber ist Selbstheit auf Du bezogen, sondern – weil all das erst ermöglichend – gegen des </w:t>
            </w:r>
            <w:proofErr w:type="spellStart"/>
            <w:r w:rsidR="004A0EA8">
              <w:rPr>
                <w:rFonts w:ascii="Times" w:hAnsi="Times"/>
                <w:lang w:val="de-DE"/>
              </w:rPr>
              <w:t>Ichsein</w:t>
            </w:r>
            <w:proofErr w:type="spellEnd"/>
            <w:r w:rsidR="004A0EA8">
              <w:rPr>
                <w:rFonts w:ascii="Times" w:hAnsi="Times"/>
                <w:lang w:val="de-DE"/>
              </w:rPr>
              <w:t xml:space="preserve"> und </w:t>
            </w:r>
            <w:proofErr w:type="spellStart"/>
            <w:r w:rsidR="004A0EA8">
              <w:rPr>
                <w:rFonts w:ascii="Times" w:hAnsi="Times"/>
                <w:lang w:val="de-DE"/>
              </w:rPr>
              <w:t>Dusein</w:t>
            </w:r>
            <w:proofErr w:type="spellEnd"/>
            <w:r w:rsidR="004A0EA8">
              <w:rPr>
                <w:rFonts w:ascii="Times" w:hAnsi="Times"/>
                <w:lang w:val="de-DE"/>
              </w:rPr>
              <w:t xml:space="preserve"> und erst recht etwa gegen </w:t>
            </w:r>
            <w:r w:rsidR="00125608">
              <w:rPr>
                <w:rFonts w:ascii="Times" w:hAnsi="Times"/>
                <w:lang w:val="de-DE"/>
              </w:rPr>
              <w:t>die »Geschlechtlichkeit« neutral. Alle Wesenssätze einer ontologischen Analytik des Daseins im Menschen</w:t>
            </w:r>
            <w:r w:rsidR="00BF4698">
              <w:rPr>
                <w:rFonts w:ascii="Times" w:hAnsi="Times"/>
                <w:lang w:val="de-DE"/>
              </w:rPr>
              <w:t xml:space="preserve"> nehmen dieses Seiende</w:t>
            </w:r>
            <w:r w:rsidR="00125608">
              <w:rPr>
                <w:rFonts w:ascii="Times" w:hAnsi="Times"/>
                <w:lang w:val="de-DE"/>
              </w:rPr>
              <w:t xml:space="preserve"> im </w:t>
            </w:r>
            <w:proofErr w:type="gramStart"/>
            <w:r w:rsidR="00125608">
              <w:rPr>
                <w:rFonts w:ascii="Times" w:hAnsi="Times"/>
                <w:lang w:val="de-DE"/>
              </w:rPr>
              <w:t>vorhinein</w:t>
            </w:r>
            <w:proofErr w:type="gramEnd"/>
            <w:r w:rsidR="00125608">
              <w:rPr>
                <w:rFonts w:ascii="Times" w:hAnsi="Times"/>
                <w:lang w:val="de-DE"/>
              </w:rPr>
              <w:t xml:space="preserve"> in dieser Neutralität.</w:t>
            </w:r>
          </w:p>
          <w:p w14:paraId="30FA69AE" w14:textId="77777777" w:rsidR="00123C59" w:rsidRDefault="00123C59" w:rsidP="009E1D4B">
            <w:pPr>
              <w:jc w:val="both"/>
              <w:rPr>
                <w:rFonts w:ascii="Times" w:hAnsi="Times"/>
                <w:lang w:val="de-DE"/>
              </w:rPr>
            </w:pPr>
          </w:p>
          <w:p w14:paraId="7FE7E115" w14:textId="1A9511C0" w:rsidR="006970D3" w:rsidRPr="00896809" w:rsidRDefault="00F028EB" w:rsidP="009E1D4B">
            <w:pPr>
              <w:jc w:val="both"/>
              <w:rPr>
                <w:rFonts w:ascii="Times" w:hAnsi="Times"/>
              </w:rPr>
            </w:pPr>
            <w:r>
              <w:rPr>
                <w:rFonts w:ascii="Times" w:hAnsi="Times"/>
                <w:lang w:val="de-DE"/>
              </w:rPr>
              <w:t xml:space="preserve">Wie bestimmt sich nun der Bezug des Daseins zur Welt? Da diese kein Seiendes ist und Welt zum Dasein gehören soll, kann dieser Bezug offenbar nicht gedacht werden als Beziehung zwischen dem Dasein als dem einen Seiendem und der Welt als dem anderem. Wenn nicht, wird dann die Welt nicht in das Dasein (Subjekt) </w:t>
            </w:r>
            <w:proofErr w:type="spellStart"/>
            <w:r>
              <w:rPr>
                <w:rFonts w:ascii="Times" w:hAnsi="Times"/>
                <w:lang w:val="de-DE"/>
              </w:rPr>
              <w:t>hineingennomen</w:t>
            </w:r>
            <w:proofErr w:type="spellEnd"/>
            <w:r>
              <w:rPr>
                <w:rFonts w:ascii="Times" w:hAnsi="Times"/>
                <w:lang w:val="de-DE"/>
              </w:rPr>
              <w:t xml:space="preserve"> und für etwas rein </w:t>
            </w:r>
            <w:r w:rsidR="00305E5F">
              <w:rPr>
                <w:rFonts w:ascii="Times" w:hAnsi="Times"/>
                <w:lang w:val="de-DE"/>
              </w:rPr>
              <w:t>»</w:t>
            </w:r>
            <w:r>
              <w:rPr>
                <w:rFonts w:ascii="Times" w:hAnsi="Times"/>
                <w:lang w:val="de-DE"/>
              </w:rPr>
              <w:t>Subjektives</w:t>
            </w:r>
            <w:r w:rsidR="00305E5F">
              <w:rPr>
                <w:rFonts w:ascii="Times" w:hAnsi="Times"/>
                <w:lang w:val="de-DE"/>
              </w:rPr>
              <w:t>«</w:t>
            </w:r>
            <w:r>
              <w:rPr>
                <w:rFonts w:ascii="Times" w:hAnsi="Times"/>
                <w:lang w:val="de-DE"/>
              </w:rPr>
              <w:t xml:space="preserve"> erklärt?</w:t>
            </w:r>
            <w:r w:rsidR="00305E5F">
              <w:rPr>
                <w:rFonts w:ascii="Times" w:hAnsi="Times"/>
                <w:lang w:val="de-DE"/>
              </w:rPr>
              <w:t xml:space="preserve"> Allein es gilt doch erst durch die Aufhellung der Transzendenz eine Möglichkeit zu gewinnen für die Bestimmung dessen, was »Subjekt« und »subjektiv« besagen. Am Ende </w:t>
            </w:r>
            <w:proofErr w:type="spellStart"/>
            <w:r w:rsidR="00305E5F">
              <w:rPr>
                <w:rFonts w:ascii="Times" w:hAnsi="Times"/>
                <w:lang w:val="de-DE"/>
              </w:rPr>
              <w:t>muß</w:t>
            </w:r>
            <w:proofErr w:type="spellEnd"/>
            <w:r w:rsidR="00305E5F">
              <w:rPr>
                <w:rFonts w:ascii="Times" w:hAnsi="Times"/>
                <w:lang w:val="de-DE"/>
              </w:rPr>
              <w:t xml:space="preserve"> der Weltbegriff so </w:t>
            </w:r>
            <w:proofErr w:type="spellStart"/>
            <w:r w:rsidR="00305E5F">
              <w:rPr>
                <w:rFonts w:ascii="Times" w:hAnsi="Times"/>
                <w:lang w:val="de-DE"/>
              </w:rPr>
              <w:t>gefaßt</w:t>
            </w:r>
            <w:proofErr w:type="spellEnd"/>
            <w:r w:rsidR="00305E5F">
              <w:rPr>
                <w:rFonts w:ascii="Times" w:hAnsi="Times"/>
                <w:lang w:val="de-DE"/>
              </w:rPr>
              <w:t xml:space="preserve"> werden</w:t>
            </w:r>
            <w:r w:rsidR="00FA5CBB">
              <w:rPr>
                <w:rFonts w:ascii="Times" w:hAnsi="Times"/>
                <w:lang w:val="de-DE"/>
              </w:rPr>
              <w:t xml:space="preserve">, </w:t>
            </w:r>
            <w:proofErr w:type="spellStart"/>
            <w:r w:rsidR="00FA5CBB">
              <w:rPr>
                <w:rFonts w:ascii="Times" w:hAnsi="Times"/>
                <w:lang w:val="de-DE"/>
              </w:rPr>
              <w:t>daß</w:t>
            </w:r>
            <w:proofErr w:type="spellEnd"/>
            <w:r w:rsidR="00FA5CBB">
              <w:rPr>
                <w:rFonts w:ascii="Times" w:hAnsi="Times"/>
                <w:lang w:val="de-DE"/>
              </w:rPr>
              <w:t xml:space="preserve"> die Welt zwar subjektiv ist, aber </w:t>
            </w:r>
            <w:r w:rsidR="00FA5CBB">
              <w:rPr>
                <w:rFonts w:ascii="Times" w:hAnsi="Times"/>
                <w:lang w:val="de-DE"/>
              </w:rPr>
              <w:t xml:space="preserve">gerade </w:t>
            </w:r>
            <w:r w:rsidR="00FA5CBB">
              <w:rPr>
                <w:rFonts w:ascii="Times" w:hAnsi="Times"/>
                <w:lang w:val="de-DE"/>
              </w:rPr>
              <w:t xml:space="preserve">deshalb nicht als Seiendes in die </w:t>
            </w:r>
            <w:proofErr w:type="spellStart"/>
            <w:r w:rsidR="00FA5CBB">
              <w:rPr>
                <w:rFonts w:ascii="Times" w:hAnsi="Times"/>
              </w:rPr>
              <w:t>Innensphäre</w:t>
            </w:r>
            <w:proofErr w:type="spellEnd"/>
            <w:r w:rsidR="00FA5CBB">
              <w:rPr>
                <w:rFonts w:ascii="Times" w:hAnsi="Times"/>
              </w:rPr>
              <w:t xml:space="preserve"> </w:t>
            </w:r>
            <w:r w:rsidR="00FA5CBB">
              <w:rPr>
                <w:rFonts w:ascii="Times" w:hAnsi="Times"/>
                <w:lang w:val="de-DE"/>
              </w:rPr>
              <w:t xml:space="preserve">eines »subjektiven« Subjekts fällt. Aus demselben </w:t>
            </w:r>
            <w:r w:rsidR="00FA5CBB">
              <w:rPr>
                <w:rFonts w:ascii="Times" w:hAnsi="Times"/>
                <w:lang w:val="de-DE"/>
              </w:rPr>
              <w:lastRenderedPageBreak/>
              <w:t xml:space="preserve">Grund aber ist sie auch nicht bloß objektiv, wenn dies bedeutet: unter die seienden Objekte gehörig. </w:t>
            </w:r>
            <w:r w:rsidR="00305E5F">
              <w:rPr>
                <w:rFonts w:ascii="Times" w:hAnsi="Times"/>
                <w:lang w:val="de-DE"/>
              </w:rPr>
              <w:t xml:space="preserve"> </w:t>
            </w:r>
          </w:p>
        </w:tc>
        <w:tc>
          <w:tcPr>
            <w:tcW w:w="4528" w:type="dxa"/>
          </w:tcPr>
          <w:p w14:paraId="772BD92E" w14:textId="7D755D9B" w:rsidR="006970D3" w:rsidRDefault="00E537FE" w:rsidP="009E1D4B">
            <w:pPr>
              <w:jc w:val="both"/>
              <w:rPr>
                <w:rFonts w:ascii="Times" w:hAnsi="Times"/>
              </w:rPr>
            </w:pPr>
            <w:r>
              <w:rPr>
                <w:rFonts w:ascii="Times" w:hAnsi="Times"/>
              </w:rPr>
              <w:lastRenderedPageBreak/>
              <w:t>Věta</w:t>
            </w:r>
            <w:r w:rsidR="006970D3">
              <w:rPr>
                <w:rFonts w:ascii="Times" w:hAnsi="Times"/>
              </w:rPr>
              <w:t xml:space="preserve">: </w:t>
            </w:r>
            <w:r w:rsidR="006970D3">
              <w:rPr>
                <w:rFonts w:ascii="Times" w:hAnsi="Times"/>
                <w:i/>
              </w:rPr>
              <w:t xml:space="preserve">pobyt existuje kvůli sobě </w:t>
            </w:r>
            <w:r>
              <w:rPr>
                <w:rFonts w:ascii="Times" w:hAnsi="Times"/>
              </w:rPr>
              <w:t>neobsahuje</w:t>
            </w:r>
            <w:r w:rsidR="006970D3">
              <w:rPr>
                <w:rFonts w:ascii="Times" w:hAnsi="Times"/>
              </w:rPr>
              <w:t xml:space="preserve"> žádné egoisticko-ontické kladení účelu pro slepou sebe-lásku každého faktického člověka.</w:t>
            </w:r>
            <w:r w:rsidR="005F5158">
              <w:rPr>
                <w:rFonts w:ascii="Times" w:hAnsi="Times"/>
              </w:rPr>
              <w:t xml:space="preserve"> Nelze ji proto </w:t>
            </w:r>
            <w:r w:rsidR="00C263E4">
              <w:rPr>
                <w:rFonts w:ascii="Times" w:hAnsi="Times"/>
              </w:rPr>
              <w:t>„</w:t>
            </w:r>
            <w:r w:rsidR="005F5158">
              <w:rPr>
                <w:rFonts w:ascii="Times" w:hAnsi="Times"/>
              </w:rPr>
              <w:t>vyvrátit</w:t>
            </w:r>
            <w:r w:rsidR="00C263E4">
              <w:rPr>
                <w:rFonts w:ascii="Times" w:hAnsi="Times"/>
              </w:rPr>
              <w:t>“</w:t>
            </w:r>
            <w:r w:rsidR="005F5158">
              <w:rPr>
                <w:rFonts w:ascii="Times" w:hAnsi="Times"/>
              </w:rPr>
              <w:t xml:space="preserve"> například poukazem na skutečnost, že se mnozí lidé obětují </w:t>
            </w:r>
            <w:r w:rsidR="005F5158">
              <w:rPr>
                <w:rFonts w:ascii="Times" w:hAnsi="Times"/>
                <w:i/>
              </w:rPr>
              <w:t xml:space="preserve">pro druhé </w:t>
            </w:r>
            <w:r w:rsidR="005F5158">
              <w:rPr>
                <w:rFonts w:ascii="Times" w:hAnsi="Times"/>
              </w:rPr>
              <w:t>a vůbec</w:t>
            </w:r>
            <w:r>
              <w:rPr>
                <w:rFonts w:ascii="Times" w:hAnsi="Times"/>
              </w:rPr>
              <w:t xml:space="preserve"> že</w:t>
            </w:r>
            <w:r w:rsidR="005F5158">
              <w:rPr>
                <w:rFonts w:ascii="Times" w:hAnsi="Times"/>
              </w:rPr>
              <w:t xml:space="preserve"> </w:t>
            </w:r>
            <w:r w:rsidR="009170F8">
              <w:rPr>
                <w:rFonts w:ascii="Times" w:hAnsi="Times"/>
              </w:rPr>
              <w:t>lidé</w:t>
            </w:r>
            <w:r w:rsidR="005F5158">
              <w:rPr>
                <w:rFonts w:ascii="Times" w:hAnsi="Times"/>
              </w:rPr>
              <w:t xml:space="preserve"> existují v společenství, a nikoli pouze sami pro sebe. </w:t>
            </w:r>
            <w:r>
              <w:rPr>
                <w:rFonts w:ascii="Times" w:hAnsi="Times"/>
              </w:rPr>
              <w:t>V jmenované větě nespočívá ani solipsistické izolování pobytu, ani jeho egoistické vystupňování. Udává však naopak podmínku možnosti toho, že</w:t>
            </w:r>
            <w:bookmarkStart w:id="0" w:name="_GoBack"/>
            <w:bookmarkEnd w:id="0"/>
            <w:r>
              <w:rPr>
                <w:rFonts w:ascii="Times" w:hAnsi="Times"/>
              </w:rPr>
              <w:t xml:space="preserve"> člověk „se“ může chovat </w:t>
            </w:r>
            <w:r w:rsidR="00896809" w:rsidRPr="00896809">
              <w:rPr>
                <w:rFonts w:ascii="Times" w:hAnsi="Times"/>
                <w:i/>
              </w:rPr>
              <w:t>bu</w:t>
            </w:r>
            <w:r w:rsidRPr="00896809">
              <w:rPr>
                <w:rFonts w:ascii="Times" w:hAnsi="Times"/>
                <w:i/>
              </w:rPr>
              <w:t>ď</w:t>
            </w:r>
            <w:r>
              <w:rPr>
                <w:rFonts w:ascii="Times" w:hAnsi="Times"/>
              </w:rPr>
              <w:t xml:space="preserve"> </w:t>
            </w:r>
            <w:r w:rsidR="00896809">
              <w:rPr>
                <w:rFonts w:ascii="Times" w:hAnsi="Times"/>
              </w:rPr>
              <w:t>„</w:t>
            </w:r>
            <w:r>
              <w:rPr>
                <w:rFonts w:ascii="Times" w:hAnsi="Times"/>
              </w:rPr>
              <w:t>egoisticky</w:t>
            </w:r>
            <w:r w:rsidR="00896809">
              <w:rPr>
                <w:rFonts w:ascii="Times" w:hAnsi="Times"/>
              </w:rPr>
              <w:t>“</w:t>
            </w:r>
            <w:r>
              <w:rPr>
                <w:rFonts w:ascii="Times" w:hAnsi="Times"/>
              </w:rPr>
              <w:t xml:space="preserve">, </w:t>
            </w:r>
            <w:r w:rsidRPr="00896809">
              <w:rPr>
                <w:rFonts w:ascii="Times" w:hAnsi="Times"/>
                <w:i/>
              </w:rPr>
              <w:t xml:space="preserve">nebo </w:t>
            </w:r>
            <w:r w:rsidR="00896809">
              <w:rPr>
                <w:rFonts w:ascii="Times" w:hAnsi="Times"/>
              </w:rPr>
              <w:t>„</w:t>
            </w:r>
            <w:r>
              <w:rPr>
                <w:rFonts w:ascii="Times" w:hAnsi="Times"/>
              </w:rPr>
              <w:t>altruisticky</w:t>
            </w:r>
            <w:r w:rsidR="00896809">
              <w:rPr>
                <w:rFonts w:ascii="Times" w:hAnsi="Times"/>
              </w:rPr>
              <w:t>“</w:t>
            </w:r>
            <w:r>
              <w:rPr>
                <w:rFonts w:ascii="Times" w:hAnsi="Times"/>
              </w:rPr>
              <w:t xml:space="preserve">. </w:t>
            </w:r>
            <w:r w:rsidR="00896809">
              <w:rPr>
                <w:rFonts w:ascii="Times" w:hAnsi="Times"/>
              </w:rPr>
              <w:t>Nějaké ‚já sám‘ se může vztahovat k</w:t>
            </w:r>
            <w:r w:rsidR="00C263E4">
              <w:rPr>
                <w:rFonts w:ascii="Times" w:hAnsi="Times"/>
              </w:rPr>
              <w:t xml:space="preserve"> určitému</w:t>
            </w:r>
            <w:r w:rsidR="00896809">
              <w:rPr>
                <w:rFonts w:ascii="Times" w:hAnsi="Times"/>
              </w:rPr>
              <w:t xml:space="preserve"> ‚ty sám‘ pouze proto, že pobyt jako takový je určen ‚bytím sebou‘.</w:t>
            </w:r>
            <w:r w:rsidR="004A0EA8">
              <w:rPr>
                <w:rFonts w:ascii="Times" w:hAnsi="Times"/>
              </w:rPr>
              <w:t xml:space="preserve"> ‚Bytí sebou‘ je předpokladem možnosti jáství, které se odemyká vždy a pouze v Ty. ‚Bytí sebou‘ však nikdy není vztaženo k</w:t>
            </w:r>
            <w:r w:rsidR="00125608">
              <w:rPr>
                <w:rFonts w:ascii="Times" w:hAnsi="Times"/>
              </w:rPr>
              <w:t> </w:t>
            </w:r>
            <w:r w:rsidR="004A0EA8">
              <w:rPr>
                <w:rFonts w:ascii="Times" w:hAnsi="Times"/>
              </w:rPr>
              <w:t>Ty</w:t>
            </w:r>
            <w:r w:rsidR="00125608">
              <w:rPr>
                <w:rFonts w:ascii="Times" w:hAnsi="Times"/>
              </w:rPr>
              <w:t>, nýbrž – protože toto vše teprve umožňuje – je vůči bytí Já a bytí Ty, a zvláště pak vůči například „pohlavnímu určení“, neutrální.</w:t>
            </w:r>
            <w:r w:rsidR="00BF4698">
              <w:rPr>
                <w:rFonts w:ascii="Times" w:hAnsi="Times"/>
              </w:rPr>
              <w:t xml:space="preserve"> Všechny bytostné výpovědi ontologické analytiky pobytu </w:t>
            </w:r>
            <w:r w:rsidR="00401BC1">
              <w:rPr>
                <w:rFonts w:ascii="Times" w:hAnsi="Times"/>
              </w:rPr>
              <w:t xml:space="preserve">v člověku pojímají toto jsoucno v této neutralitě. </w:t>
            </w:r>
            <w:r w:rsidR="00BF4698">
              <w:rPr>
                <w:rFonts w:ascii="Times" w:hAnsi="Times"/>
              </w:rPr>
              <w:t xml:space="preserve"> </w:t>
            </w:r>
            <w:r w:rsidR="00125608">
              <w:rPr>
                <w:rFonts w:ascii="Times" w:hAnsi="Times"/>
              </w:rPr>
              <w:t xml:space="preserve"> </w:t>
            </w:r>
            <w:r>
              <w:rPr>
                <w:rFonts w:ascii="Times" w:hAnsi="Times"/>
              </w:rPr>
              <w:t xml:space="preserve"> </w:t>
            </w:r>
            <w:r w:rsidR="006970D3">
              <w:rPr>
                <w:rFonts w:ascii="Times" w:hAnsi="Times"/>
              </w:rPr>
              <w:t xml:space="preserve"> </w:t>
            </w:r>
          </w:p>
          <w:p w14:paraId="1BB58E79" w14:textId="77777777" w:rsidR="00F028EB" w:rsidRDefault="00F028EB" w:rsidP="009E1D4B">
            <w:pPr>
              <w:jc w:val="both"/>
              <w:rPr>
                <w:rFonts w:ascii="Times" w:hAnsi="Times"/>
              </w:rPr>
            </w:pPr>
          </w:p>
          <w:p w14:paraId="651D8C65" w14:textId="77777777" w:rsidR="00BD740D" w:rsidRDefault="00BD740D" w:rsidP="009E1D4B">
            <w:pPr>
              <w:jc w:val="both"/>
              <w:rPr>
                <w:rFonts w:ascii="Times" w:hAnsi="Times"/>
              </w:rPr>
            </w:pPr>
          </w:p>
          <w:p w14:paraId="399FDD07" w14:textId="77777777" w:rsidR="00BD740D" w:rsidRDefault="00BD740D" w:rsidP="009E1D4B">
            <w:pPr>
              <w:jc w:val="both"/>
              <w:rPr>
                <w:rFonts w:ascii="Times" w:hAnsi="Times"/>
              </w:rPr>
            </w:pPr>
          </w:p>
          <w:p w14:paraId="44EF2352" w14:textId="77777777" w:rsidR="00BD740D" w:rsidRDefault="00BD740D" w:rsidP="009E1D4B">
            <w:pPr>
              <w:jc w:val="both"/>
              <w:rPr>
                <w:rFonts w:ascii="Times" w:hAnsi="Times"/>
              </w:rPr>
            </w:pPr>
          </w:p>
          <w:p w14:paraId="252AC919" w14:textId="77777777" w:rsidR="00BD740D" w:rsidRDefault="00BD740D" w:rsidP="009E1D4B">
            <w:pPr>
              <w:jc w:val="both"/>
              <w:rPr>
                <w:rFonts w:ascii="Times" w:hAnsi="Times"/>
              </w:rPr>
            </w:pPr>
          </w:p>
          <w:p w14:paraId="4CC6CDB9" w14:textId="1197AC30" w:rsidR="00F028EB" w:rsidRDefault="00F028EB" w:rsidP="009E1D4B">
            <w:pPr>
              <w:jc w:val="both"/>
              <w:rPr>
                <w:rFonts w:ascii="Times" w:hAnsi="Times"/>
              </w:rPr>
            </w:pPr>
            <w:r>
              <w:rPr>
                <w:rFonts w:ascii="Times" w:hAnsi="Times"/>
              </w:rPr>
              <w:t xml:space="preserve">Jak se nyní určuje vztah pobytu ke světu? Protože svět není jsoucnem a má náležet pobytu, nelze tento poměr myslet jako vztah mezi pobytem coby jedním jsoucnem a světem coby jsoucnem druhým. </w:t>
            </w:r>
            <w:r w:rsidR="00305E5F">
              <w:rPr>
                <w:rFonts w:ascii="Times" w:hAnsi="Times"/>
              </w:rPr>
              <w:t xml:space="preserve">Pokud toto nelze, není pak svět kladen do nitra pobytu (subjektu) a explikován jako něco čistě „subjektivního“? Jen je však třeba osvětlením transcendence nejprve získat možnost pro určení toho, co termíny „subjekt“ a „subjektivní“ znamenají. </w:t>
            </w:r>
            <w:r w:rsidR="00205218">
              <w:rPr>
                <w:rFonts w:ascii="Times" w:hAnsi="Times"/>
              </w:rPr>
              <w:t>Nakonec</w:t>
            </w:r>
            <w:r w:rsidR="00FA5CBB">
              <w:rPr>
                <w:rFonts w:ascii="Times" w:hAnsi="Times"/>
              </w:rPr>
              <w:t xml:space="preserve"> musí být pojem světa pojat tak, že svět sice je subjektivní, ale právě proto nespadá jako jsoucno do vnitřní sféry „subjektivního“ subjektu. </w:t>
            </w:r>
            <w:r w:rsidR="00205218">
              <w:rPr>
                <w:rFonts w:ascii="Times" w:hAnsi="Times"/>
              </w:rPr>
              <w:t xml:space="preserve">Z téhož důvodu také není prostě objektivní, znamená-li to, že „patří mezi jsoucí objekty“. </w:t>
            </w:r>
          </w:p>
          <w:p w14:paraId="6A51B256" w14:textId="77777777" w:rsidR="009E1D4B" w:rsidRDefault="009E1D4B" w:rsidP="009E1D4B">
            <w:pPr>
              <w:jc w:val="both"/>
              <w:rPr>
                <w:rFonts w:ascii="Times" w:hAnsi="Times"/>
              </w:rPr>
            </w:pPr>
          </w:p>
          <w:p w14:paraId="6837B4F7" w14:textId="3ECA361E" w:rsidR="00123C59" w:rsidRPr="009E1D4B" w:rsidRDefault="009E1D4B" w:rsidP="009E1D4B">
            <w:pPr>
              <w:jc w:val="right"/>
              <w:rPr>
                <w:rFonts w:ascii="Times" w:hAnsi="Times"/>
                <w:i/>
              </w:rPr>
            </w:pPr>
            <w:r>
              <w:rPr>
                <w:rFonts w:ascii="Times" w:hAnsi="Times"/>
                <w:i/>
              </w:rPr>
              <w:lastRenderedPageBreak/>
              <w:t>přel. Šimon Koukal</w:t>
            </w:r>
          </w:p>
          <w:p w14:paraId="321F000D" w14:textId="77777777" w:rsidR="00123C59" w:rsidRDefault="00123C59" w:rsidP="009E1D4B">
            <w:pPr>
              <w:jc w:val="both"/>
              <w:rPr>
                <w:rFonts w:ascii="Times" w:hAnsi="Times"/>
              </w:rPr>
            </w:pPr>
          </w:p>
          <w:p w14:paraId="7DB2D5DD" w14:textId="515A6EB4" w:rsidR="009E1D4B" w:rsidRPr="006970D3" w:rsidRDefault="009E1D4B" w:rsidP="009E1D4B">
            <w:pPr>
              <w:jc w:val="both"/>
              <w:rPr>
                <w:rFonts w:ascii="Times" w:hAnsi="Times"/>
              </w:rPr>
            </w:pPr>
          </w:p>
        </w:tc>
      </w:tr>
    </w:tbl>
    <w:p w14:paraId="791B17D7" w14:textId="01CF2334" w:rsidR="00FB3F63" w:rsidRPr="006970D3" w:rsidRDefault="008D04D1" w:rsidP="009E1D4B">
      <w:pPr>
        <w:jc w:val="both"/>
        <w:rPr>
          <w:rFonts w:ascii="Times" w:hAnsi="Times"/>
        </w:rPr>
      </w:pPr>
    </w:p>
    <w:sectPr w:rsidR="00FB3F63" w:rsidRPr="006970D3" w:rsidSect="004549E4">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F0666" w14:textId="77777777" w:rsidR="008D04D1" w:rsidRDefault="008D04D1" w:rsidP="00755645">
      <w:r>
        <w:separator/>
      </w:r>
    </w:p>
  </w:endnote>
  <w:endnote w:type="continuationSeparator" w:id="0">
    <w:p w14:paraId="18393B08" w14:textId="77777777" w:rsidR="008D04D1" w:rsidRDefault="008D04D1" w:rsidP="0075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63CD3" w14:textId="77777777" w:rsidR="008D04D1" w:rsidRDefault="008D04D1" w:rsidP="00755645">
      <w:r>
        <w:separator/>
      </w:r>
    </w:p>
  </w:footnote>
  <w:footnote w:type="continuationSeparator" w:id="0">
    <w:p w14:paraId="215F4735" w14:textId="77777777" w:rsidR="008D04D1" w:rsidRDefault="008D04D1" w:rsidP="007556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4E8B7" w14:textId="77777777" w:rsidR="00755645" w:rsidRDefault="0075564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0D3"/>
    <w:rsid w:val="00123C59"/>
    <w:rsid w:val="00125608"/>
    <w:rsid w:val="00205218"/>
    <w:rsid w:val="00305E5F"/>
    <w:rsid w:val="003408B2"/>
    <w:rsid w:val="00401BC1"/>
    <w:rsid w:val="004549E4"/>
    <w:rsid w:val="004A0EA8"/>
    <w:rsid w:val="005B190C"/>
    <w:rsid w:val="005F4542"/>
    <w:rsid w:val="005F5158"/>
    <w:rsid w:val="006970D3"/>
    <w:rsid w:val="00755645"/>
    <w:rsid w:val="00896809"/>
    <w:rsid w:val="008D04D1"/>
    <w:rsid w:val="009170F8"/>
    <w:rsid w:val="009850D4"/>
    <w:rsid w:val="009E1D4B"/>
    <w:rsid w:val="00A704FE"/>
    <w:rsid w:val="00B730F1"/>
    <w:rsid w:val="00BD740D"/>
    <w:rsid w:val="00BF4698"/>
    <w:rsid w:val="00C263E4"/>
    <w:rsid w:val="00E537FE"/>
    <w:rsid w:val="00F028EB"/>
    <w:rsid w:val="00FA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CFD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970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755645"/>
    <w:pPr>
      <w:tabs>
        <w:tab w:val="center" w:pos="4536"/>
        <w:tab w:val="right" w:pos="9072"/>
      </w:tabs>
    </w:pPr>
  </w:style>
  <w:style w:type="character" w:customStyle="1" w:styleId="KopfzeileZchn">
    <w:name w:val="Kopfzeile Zchn"/>
    <w:basedOn w:val="Absatz-Standardschriftart"/>
    <w:link w:val="Kopfzeile"/>
    <w:uiPriority w:val="99"/>
    <w:rsid w:val="00755645"/>
    <w:rPr>
      <w:lang w:val="cs-CZ"/>
    </w:rPr>
  </w:style>
  <w:style w:type="paragraph" w:styleId="Fuzeile">
    <w:name w:val="footer"/>
    <w:basedOn w:val="Standard"/>
    <w:link w:val="FuzeileZchn"/>
    <w:uiPriority w:val="99"/>
    <w:unhideWhenUsed/>
    <w:rsid w:val="00755645"/>
    <w:pPr>
      <w:tabs>
        <w:tab w:val="center" w:pos="4536"/>
        <w:tab w:val="right" w:pos="9072"/>
      </w:tabs>
    </w:pPr>
  </w:style>
  <w:style w:type="character" w:customStyle="1" w:styleId="FuzeileZchn">
    <w:name w:val="Fußzeile Zchn"/>
    <w:basedOn w:val="Absatz-Standardschriftart"/>
    <w:link w:val="Fuzeile"/>
    <w:uiPriority w:val="99"/>
    <w:rsid w:val="00755645"/>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F94FB63-4FD4-814F-9417-324F5486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3190</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3</cp:revision>
  <dcterms:created xsi:type="dcterms:W3CDTF">2017-11-18T10:57:00Z</dcterms:created>
  <dcterms:modified xsi:type="dcterms:W3CDTF">2017-11-18T11:03:00Z</dcterms:modified>
</cp:coreProperties>
</file>