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99748" w14:textId="77777777" w:rsidR="00FB3F63" w:rsidRPr="00D75881" w:rsidRDefault="00D75881" w:rsidP="00D75881">
      <w:pPr>
        <w:jc w:val="center"/>
        <w:rPr>
          <w:rFonts w:ascii="Times" w:hAnsi="Times"/>
          <w:b/>
          <w:sz w:val="28"/>
          <w:szCs w:val="22"/>
        </w:rPr>
      </w:pPr>
      <w:r w:rsidRPr="00D75881">
        <w:rPr>
          <w:rFonts w:ascii="Times" w:hAnsi="Times"/>
          <w:b/>
          <w:sz w:val="28"/>
          <w:szCs w:val="22"/>
        </w:rPr>
        <w:t xml:space="preserve">M. </w:t>
      </w:r>
      <w:proofErr w:type="spellStart"/>
      <w:r w:rsidRPr="00D75881">
        <w:rPr>
          <w:rFonts w:ascii="Times" w:hAnsi="Times"/>
          <w:b/>
          <w:sz w:val="28"/>
          <w:szCs w:val="22"/>
        </w:rPr>
        <w:t>Heidegger</w:t>
      </w:r>
      <w:proofErr w:type="spellEnd"/>
      <w:r w:rsidRPr="00D75881">
        <w:rPr>
          <w:rFonts w:ascii="Times" w:hAnsi="Times"/>
          <w:b/>
          <w:sz w:val="28"/>
          <w:szCs w:val="22"/>
        </w:rPr>
        <w:t xml:space="preserve">, </w:t>
      </w:r>
      <w:proofErr w:type="spellStart"/>
      <w:r w:rsidRPr="00D75881">
        <w:rPr>
          <w:rFonts w:ascii="Times" w:hAnsi="Times"/>
          <w:b/>
          <w:i/>
          <w:sz w:val="28"/>
          <w:szCs w:val="22"/>
        </w:rPr>
        <w:t>Vom</w:t>
      </w:r>
      <w:proofErr w:type="spellEnd"/>
      <w:r w:rsidRPr="00D75881">
        <w:rPr>
          <w:rFonts w:ascii="Times" w:hAnsi="Times"/>
          <w:b/>
          <w:i/>
          <w:sz w:val="28"/>
          <w:szCs w:val="22"/>
        </w:rPr>
        <w:t xml:space="preserve"> </w:t>
      </w:r>
      <w:proofErr w:type="spellStart"/>
      <w:r w:rsidRPr="00D75881">
        <w:rPr>
          <w:rFonts w:ascii="Times" w:hAnsi="Times"/>
          <w:b/>
          <w:i/>
          <w:sz w:val="28"/>
          <w:szCs w:val="22"/>
        </w:rPr>
        <w:t>Wesen</w:t>
      </w:r>
      <w:proofErr w:type="spellEnd"/>
      <w:r w:rsidRPr="00D75881">
        <w:rPr>
          <w:rFonts w:ascii="Times" w:hAnsi="Times"/>
          <w:b/>
          <w:i/>
          <w:sz w:val="28"/>
          <w:szCs w:val="22"/>
        </w:rPr>
        <w:t xml:space="preserve"> des </w:t>
      </w:r>
      <w:proofErr w:type="spellStart"/>
      <w:r w:rsidRPr="00D75881">
        <w:rPr>
          <w:rFonts w:ascii="Times" w:hAnsi="Times"/>
          <w:b/>
          <w:i/>
          <w:sz w:val="28"/>
          <w:szCs w:val="22"/>
        </w:rPr>
        <w:t>Grundes</w:t>
      </w:r>
      <w:proofErr w:type="spellEnd"/>
      <w:r w:rsidRPr="00D75881">
        <w:rPr>
          <w:rFonts w:ascii="Times" w:hAnsi="Times"/>
          <w:b/>
          <w:i/>
          <w:sz w:val="28"/>
          <w:szCs w:val="22"/>
        </w:rPr>
        <w:t xml:space="preserve">, </w:t>
      </w:r>
      <w:r w:rsidRPr="00D75881">
        <w:rPr>
          <w:rFonts w:ascii="Times" w:hAnsi="Times"/>
          <w:b/>
          <w:sz w:val="28"/>
          <w:szCs w:val="22"/>
        </w:rPr>
        <w:t>§§ 10-13</w:t>
      </w:r>
    </w:p>
    <w:p w14:paraId="2FCD9254" w14:textId="77777777" w:rsidR="00D75881" w:rsidRPr="00D75881" w:rsidRDefault="00D75881" w:rsidP="00D75881">
      <w:pPr>
        <w:jc w:val="center"/>
        <w:rPr>
          <w:rFonts w:ascii="Times" w:hAnsi="Times"/>
          <w:b/>
          <w:sz w:val="22"/>
          <w:szCs w:val="22"/>
        </w:rPr>
      </w:pPr>
    </w:p>
    <w:p w14:paraId="7C736CF0" w14:textId="77777777" w:rsidR="00D75881" w:rsidRPr="00D75881" w:rsidRDefault="00D75881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75881" w:rsidRPr="00D75881" w14:paraId="45F0E01E" w14:textId="77777777" w:rsidTr="00D75881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3273DE1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Dem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Grundverfassung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zusprechen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heißt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etwas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über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Wesen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(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eigenste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innere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Möglichkeit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)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aussagen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Hierbei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kann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gerade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nicht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darauf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ausweisende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Instanz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gesehen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werden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ob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welches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je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nun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gerade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faktisch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existiert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oder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nicht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Die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Rede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vom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keine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Feststellung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des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faktischen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Vorkommens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von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ja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überhaupt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keine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ontische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Aussage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Sie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betrifft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überhaupt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bestimmendes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Wesensverhalt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hat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daher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den Charakter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ontologischen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These.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Mithin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gilt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: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nicht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deshalb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weil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weil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es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faktisch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existiert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sondern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umgekehrt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es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kann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existierendes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d. h.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weil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  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Wesensverfassung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liegt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.</w:t>
            </w:r>
          </w:p>
          <w:p w14:paraId="437DC2F8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Satz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: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faktische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(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kommt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anderem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vor),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verrät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nichtssagende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Tautologie. Die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Aussage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: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zum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Wesen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des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gehört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daß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es in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(</w:t>
            </w:r>
            <w:r w:rsidRPr="00D75881">
              <w:rPr>
                <w:rFonts w:ascii="Times" w:hAnsi="Times"/>
                <w:sz w:val="22"/>
                <w:szCs w:val="22"/>
                <w:lang w:val="de-DE"/>
              </w:rPr>
              <w:t xml:space="preserve">»neben«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anderem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Seienden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notwendig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auch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vorkommt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),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erweist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falsch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Die These: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zum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Wesen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von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solchem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gehört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enthält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Problem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Transzendenz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.</w:t>
            </w:r>
          </w:p>
          <w:p w14:paraId="4AAD8307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Die These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ursprünglich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einfach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Hieraus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folgt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nicht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die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Einfachheit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ihrer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Enthüllung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wenngleich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je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einem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,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nach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verschiedenen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Graden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durchsichtigen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Entwurf</w:t>
            </w:r>
            <w:proofErr w:type="spellEnd"/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in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vorbereitende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wieder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(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frelich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immer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relativ)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begrifflich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abszuschließende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Verständnis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gebracht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werden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kann. </w:t>
            </w:r>
          </w:p>
          <w:p w14:paraId="7D8882B3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Die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Transzendenz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des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mit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bisherigen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Charakteristik des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erst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aus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Abwehr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bestimmt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Zur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Transzendenz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gehört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woraufhin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Überstieg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geschieht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positive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Problem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verstanden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wie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der »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Bezug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« des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zur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bestimmt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     d. h.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wie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In-der-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Welt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ursprünglich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einige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Daseinsverfassung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begriffen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werden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soll,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erörtern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wir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hier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nur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Richtung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und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in den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Grenzen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die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durch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das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leitende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Problem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des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Grundes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gefordert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ist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. In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Absicht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hierauf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sei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eine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Interpretation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des </w:t>
            </w:r>
            <w:proofErr w:type="spellStart"/>
            <w:r w:rsidRPr="00D75881">
              <w:rPr>
                <w:rFonts w:ascii="Times" w:hAnsi="Times"/>
                <w:i/>
                <w:sz w:val="22"/>
                <w:szCs w:val="22"/>
              </w:rPr>
              <w:t>Weltphänomens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versucht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die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Hellung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der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Transzendenz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als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solcher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D75881">
              <w:rPr>
                <w:rFonts w:ascii="Times" w:hAnsi="Times"/>
                <w:sz w:val="22"/>
                <w:szCs w:val="22"/>
              </w:rPr>
              <w:t>dienen</w:t>
            </w:r>
            <w:proofErr w:type="spellEnd"/>
            <w:r w:rsidRPr="00D75881">
              <w:rPr>
                <w:rFonts w:ascii="Times" w:hAnsi="Times"/>
                <w:sz w:val="22"/>
                <w:szCs w:val="22"/>
              </w:rPr>
              <w:t xml:space="preserve"> soll.       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790B0117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Připisovat pobytu ‚bytí-ve-světe‘ jakožto jeho základní skladbu znamená vyslovovat jeho bytnost (jeho nejvlastnější vnitřní možnost jakožto bytí-tu). Přitom právě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>nelze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 hledět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>na to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zda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a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který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pobyt nyní zrovna fakticky existuje či neexistuje jakožto na rozhodčí faktor. Řeč o ‚bytí ve světě‘ není žádným tvrzením stran faktického nastávání pobytu, ba vůbec žádnou ontickou výpovědí. Týká se charakteristiky, která určuje bytnost pobytu vůbec, takže má povahu ontologické teze. Platí tedy: Pobyt není ‚bytím-ve-světě‘ pouze právě tehdy, když fakticky existuje, ale naopak jakožto existující, tzn. jakožto pobyt,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může být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jen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>proto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,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že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jeho bytostná skladba spočívá v ‚bytí-ve-světě‘. </w:t>
            </w:r>
          </w:p>
          <w:p w14:paraId="3635B722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Věta: Pobyt je ve světe (vyskytuje se mezi ostatními jsoucny), se ukazuje jako nic neříkající tautologie. Výpověď: K bytnosti pobytu patří, že je ve světě (vyskytuje se nutně také vedle dalších jsoucen), se zase ukazuje jako nepravdivá. Teze: K bytnosti pobytu jako takovému patří ‚bytí-ve-světě‘, obsahuje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problém </w:t>
            </w:r>
            <w:r w:rsidRPr="00D75881">
              <w:rPr>
                <w:rFonts w:ascii="Times" w:hAnsi="Times"/>
                <w:sz w:val="22"/>
                <w:szCs w:val="22"/>
              </w:rPr>
              <w:t>transcendence.</w:t>
            </w:r>
          </w:p>
          <w:p w14:paraId="45BF5CDB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Teze je původní a jednoduchá. Z toho neplyne snadnost jejího odhalení, i když zároveň ‚bytí-ve-světě‘ může být vždy pozdviženo k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>nějakému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 více či méně průzračnému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>rozvrhu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 do provizorního a dále pak (samozřejmě vždy relativního) pojmově završujícího rozumění.</w:t>
            </w:r>
          </w:p>
          <w:p w14:paraId="595A1EAA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Transcendence pobytu je zprvu s dosavadní charakteristikou ‚bytí-ve-světě‘ určena pouze negativně. K transcendenci náleží svět jako to, k čemu se děje překročení. Pozitivní problém, který představuje otázka jako čemu má být rozuměno světu, jak má být určen „vztah“ pobytu ke světu, tzn. jak má být pojato ‚bytí-ve-světe‘ jakožto původní jednotná základní skladba pobytu, zde vyjasníme jen v obrysech a směru, které si žádá vůdčí problém základu. Vzhledem k tomu je třeba se pokusit o nějakou interpretaci </w:t>
            </w:r>
            <w:r w:rsidRPr="00D75881">
              <w:rPr>
                <w:rFonts w:ascii="Times" w:hAnsi="Times"/>
                <w:i/>
                <w:sz w:val="22"/>
                <w:szCs w:val="22"/>
              </w:rPr>
              <w:t xml:space="preserve">fenoménu světa, </w:t>
            </w:r>
            <w:r w:rsidRPr="00D75881">
              <w:rPr>
                <w:rFonts w:ascii="Times" w:hAnsi="Times"/>
                <w:sz w:val="22"/>
                <w:szCs w:val="22"/>
              </w:rPr>
              <w:t xml:space="preserve">která by měla posloužit k osvětlení transcendence jako takové.  </w:t>
            </w:r>
            <w:bookmarkStart w:id="0" w:name="_GoBack"/>
            <w:bookmarkEnd w:id="0"/>
          </w:p>
          <w:p w14:paraId="7157492E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   </w:t>
            </w:r>
          </w:p>
          <w:p w14:paraId="3C9F595B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4833C469" w14:textId="77777777" w:rsid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D75881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0502CD82" w14:textId="77777777" w:rsid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  <w:p w14:paraId="5792B424" w14:textId="77777777" w:rsid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  <w:p w14:paraId="3215A098" w14:textId="77777777" w:rsid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  <w:p w14:paraId="02BEC70E" w14:textId="77777777" w:rsid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                                              </w:t>
            </w:r>
          </w:p>
          <w:p w14:paraId="6BE723C6" w14:textId="77777777" w:rsidR="00D75881" w:rsidRPr="00D75881" w:rsidRDefault="00D75881" w:rsidP="00AA7140">
            <w:pPr>
              <w:jc w:val="both"/>
              <w:rPr>
                <w:rFonts w:ascii="Times" w:hAnsi="Times"/>
                <w:i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Times" w:hAnsi="Times"/>
                <w:i/>
                <w:sz w:val="22"/>
                <w:szCs w:val="22"/>
              </w:rPr>
              <w:t xml:space="preserve">přel. Šimon Koukal </w:t>
            </w:r>
          </w:p>
          <w:p w14:paraId="1D544BE9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D75881" w:rsidRPr="00D75881" w14:paraId="191B4D52" w14:textId="77777777" w:rsidTr="00D75881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44D2BAC3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635398D7" w14:textId="77777777" w:rsidR="00D75881" w:rsidRPr="00D75881" w:rsidRDefault="00D75881" w:rsidP="00AA7140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9C7E2F5" w14:textId="77777777" w:rsidR="00D75881" w:rsidRPr="00D75881" w:rsidRDefault="00D75881">
      <w:pPr>
        <w:rPr>
          <w:sz w:val="22"/>
          <w:szCs w:val="22"/>
        </w:rPr>
      </w:pPr>
    </w:p>
    <w:sectPr w:rsidR="00D75881" w:rsidRPr="00D75881" w:rsidSect="004549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9D66A" w14:textId="77777777" w:rsidR="004C1496" w:rsidRDefault="004C1496" w:rsidP="00D75881">
      <w:r>
        <w:separator/>
      </w:r>
    </w:p>
  </w:endnote>
  <w:endnote w:type="continuationSeparator" w:id="0">
    <w:p w14:paraId="11211675" w14:textId="77777777" w:rsidR="004C1496" w:rsidRDefault="004C1496" w:rsidP="00D7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8E507" w14:textId="77777777" w:rsidR="004C1496" w:rsidRDefault="004C1496" w:rsidP="00D75881">
      <w:r>
        <w:separator/>
      </w:r>
    </w:p>
  </w:footnote>
  <w:footnote w:type="continuationSeparator" w:id="0">
    <w:p w14:paraId="3CBD07AC" w14:textId="77777777" w:rsidR="004C1496" w:rsidRDefault="004C1496" w:rsidP="00D7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81"/>
    <w:rsid w:val="00333AE4"/>
    <w:rsid w:val="003408B2"/>
    <w:rsid w:val="004549E4"/>
    <w:rsid w:val="004C1496"/>
    <w:rsid w:val="005B190C"/>
    <w:rsid w:val="005F4542"/>
    <w:rsid w:val="009850D4"/>
    <w:rsid w:val="00A704FE"/>
    <w:rsid w:val="00D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888E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5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3588</Characters>
  <Application>Microsoft Macintosh Word</Application>
  <DocSecurity>0</DocSecurity>
  <Lines>29</Lines>
  <Paragraphs>8</Paragraphs>
  <ScaleCrop>false</ScaleCrop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2</cp:revision>
  <dcterms:created xsi:type="dcterms:W3CDTF">2017-11-03T09:59:00Z</dcterms:created>
  <dcterms:modified xsi:type="dcterms:W3CDTF">2017-11-03T10:06:00Z</dcterms:modified>
</cp:coreProperties>
</file>