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firstLine="425"/>
        <w:rPr>
          <w:i/>
          <w:i/>
        </w:rPr>
      </w:pPr>
      <w:r>
        <w:rPr>
          <w:i/>
        </w:rPr>
        <w:t>II. Rozdělení všech způsobů, jimiž lze nahlížet vnější předměty.</w:t>
      </w:r>
    </w:p>
    <w:p>
      <w:pPr>
        <w:pStyle w:val="Normal"/>
        <w:spacing w:lineRule="auto" w:line="276"/>
        <w:ind w:firstLine="425"/>
        <w:rPr/>
      </w:pPr>
      <w:bookmarkStart w:id="0" w:name="_GoBack"/>
      <w:bookmarkEnd w:id="0"/>
      <w:r>
        <w:rPr/>
        <w:t>Je tedy podle nás naprosto nutné, aby naše ideje těles a všech ostatních předmětů, které nevnímáme samy o sobě, přicházely buď právě od těchto těles či předmětů; nebo má naše duše schopnost tyto ideje vytvářet; nebo je Bůh vytvořil spolu s ní, když ji stvořil, či je vytváří pokaždé, když myslíme na nějaký předmět; nebo má v sobě duše všechny dokonalosti, jež nahlíží v těchto tělesech; nebo je konečně spojena s naprosto dokonalým jsoucnem, které obecně zahrnuje všechny poznatelné dokonalosti či všechny ideje stvořených jsoucen. (R III, II, I, § 2; OC I, 417)</w:t>
      </w:r>
    </w:p>
    <w:p>
      <w:pPr>
        <w:pStyle w:val="Normal"/>
        <w:ind w:firstLine="425"/>
        <w:rPr/>
      </w:pPr>
      <w:r>
        <w:rPr/>
      </w:r>
    </w:p>
    <w:p>
      <w:pPr>
        <w:pStyle w:val="Normal"/>
        <w:ind w:firstLine="425"/>
        <w:rPr/>
      </w:pPr>
      <w:r>
        <w:rPr/>
      </w:r>
    </w:p>
    <w:p>
      <w:pPr>
        <w:pStyle w:val="Normal"/>
        <w:ind w:firstLine="425"/>
        <w:rPr/>
      </w:pPr>
      <w:r>
        <w:rPr/>
        <w:t>Bůh je svojí přítomností velmi úzce spojen s našimi dušemi, takže můžeme říct, že je místem duchů, stejně jako prostor je v určitém smyslu místem těles. (R III, II, VI; OC I, 437)</w:t>
      </w:r>
    </w:p>
    <w:p>
      <w:pPr>
        <w:pStyle w:val="Normal"/>
        <w:ind w:firstLine="425"/>
        <w:rPr/>
      </w:pPr>
      <w:r>
        <w:rPr/>
      </w:r>
    </w:p>
    <w:p>
      <w:pPr>
        <w:pStyle w:val="Normal"/>
        <w:ind w:firstLine="425"/>
        <w:rPr/>
      </w:pPr>
      <w:r>
        <w:rPr/>
        <w:t xml:space="preserve">Když vnímáme nějakou smyslovou věc, nachází se v naší percepci </w:t>
      </w:r>
      <w:r>
        <w:rPr>
          <w:i/>
        </w:rPr>
        <w:t xml:space="preserve">pocit </w:t>
      </w:r>
      <w:r>
        <w:rPr/>
        <w:t xml:space="preserve">a čistá </w:t>
      </w:r>
      <w:r>
        <w:rPr>
          <w:i/>
        </w:rPr>
        <w:t>idea</w:t>
      </w:r>
      <w:r>
        <w:rPr/>
        <w:t>. Pocit je modifikací naší duše a zapříčiňuje ho v nás Bůh, který ho v nás může zapříčinit, ačkoli ho sám nemá, neboť v ideji, kterou má o naší duši, nahlíží, že naše duše je tohoto pocitu schopna. Co se týče ideje, která je spojena s pocitem, tak tato idea je v Bohu a nahlížíme ji, protože se mu zachtělo nám ji odhalit; a Bůh připojuje k ideji pocit ve chvíli, kdy jsou předměty přítomné, abychom je za přítomné považovali a abychom začali mít pocity a vášně, které vůči těmto předmětům máme mít. (R III, II, VI; OC I, 445)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4d7d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sz w:val="24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LibreOffice/5.1.4.2$Linux_X86_64 LibreOffice_project/10m0$Build-2</Application>
  <Pages>1</Pages>
  <Words>205</Words>
  <CharactersWithSpaces>1216</CharactersWithSpaces>
  <Paragraphs>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2017-02-23T14:19:00Z</dcterms:created>
  <dc:creator>pracovni@outlook.com</dc:creator>
  <dc:description/>
  <dc:language>cs-CZ</dc:language>
  <cp:lastModifiedBy>pracovni@outlook.com</cp:lastModifiedBy>
  <dcterms:modified xsi:type="dcterms:W3CDTF">2017-02-23T14:38:00Z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