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6" w:type="dxa"/>
        <w:tblLayout w:type="fixed"/>
        <w:tblCellMar>
          <w:left w:w="70" w:type="dxa"/>
          <w:right w:w="70" w:type="dxa"/>
        </w:tblCellMar>
        <w:tblLook w:val="0000" w:firstRow="0" w:lastRow="0" w:firstColumn="0" w:lastColumn="0" w:noHBand="0" w:noVBand="0"/>
      </w:tblPr>
      <w:tblGrid>
        <w:gridCol w:w="1560"/>
        <w:gridCol w:w="8991"/>
      </w:tblGrid>
      <w:tr w:rsidR="00C45F59" w:rsidTr="006D7190">
        <w:trPr>
          <w:trHeight w:val="61"/>
        </w:trPr>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jc w:val="both"/>
              <w:rPr>
                <w:rFonts w:ascii="Arial Narrow" w:hAnsi="Arial Narrow" w:cs="Arial Narrow"/>
                <w:b/>
                <w:bCs/>
                <w:sz w:val="22"/>
                <w:szCs w:val="22"/>
                <w:lang w:val="en-US"/>
              </w:rPr>
            </w:pPr>
            <w:r>
              <w:rPr>
                <w:rFonts w:ascii="Arial Narrow" w:hAnsi="Arial Narrow" w:cs="Arial Narrow"/>
                <w:b/>
                <w:sz w:val="22"/>
                <w:szCs w:val="22"/>
              </w:rPr>
              <w:t xml:space="preserve">Module </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jc w:val="both"/>
            </w:pPr>
            <w:bookmarkStart w:id="0" w:name="OLE_LINK2"/>
            <w:r>
              <w:rPr>
                <w:rFonts w:ascii="Arial Narrow" w:hAnsi="Arial Narrow" w:cs="Arial Narrow"/>
                <w:b/>
                <w:bCs/>
                <w:sz w:val="22"/>
                <w:szCs w:val="22"/>
                <w:lang w:val="en-US"/>
              </w:rPr>
              <w:t>A Constitutional Sociology of Europe</w:t>
            </w:r>
            <w:bookmarkEnd w:id="0"/>
            <w:r>
              <w:rPr>
                <w:rFonts w:ascii="Arial Narrow" w:hAnsi="Arial Narrow" w:cs="Arial Narrow"/>
                <w:b/>
                <w:bCs/>
                <w:sz w:val="22"/>
                <w:szCs w:val="22"/>
                <w:lang w:val="en-US"/>
              </w:rPr>
              <w:t>: Law, Politics, and Society</w:t>
            </w:r>
          </w:p>
        </w:tc>
      </w:tr>
      <w:tr w:rsidR="00C45F59" w:rsidTr="006D7190">
        <w:trPr>
          <w:trHeight w:val="61"/>
        </w:trPr>
        <w:tc>
          <w:tcPr>
            <w:tcW w:w="1560" w:type="dxa"/>
            <w:tcBorders>
              <w:left w:val="single" w:sz="4" w:space="0" w:color="000000"/>
              <w:bottom w:val="single" w:sz="4" w:space="0" w:color="000000"/>
            </w:tcBorders>
            <w:shd w:val="clear" w:color="auto" w:fill="auto"/>
          </w:tcPr>
          <w:p w:rsidR="00C45F59" w:rsidRDefault="00C45F59" w:rsidP="006D7190">
            <w:pPr>
              <w:keepNext/>
              <w:jc w:val="both"/>
              <w:rPr>
                <w:rFonts w:ascii="Arial Narrow" w:hAnsi="Arial Narrow" w:cs="Arial Narrow"/>
                <w:sz w:val="22"/>
                <w:szCs w:val="22"/>
              </w:rPr>
            </w:pPr>
            <w:r>
              <w:rPr>
                <w:rFonts w:ascii="Arial Narrow" w:hAnsi="Arial Narrow" w:cs="Arial Narrow"/>
                <w:sz w:val="22"/>
                <w:szCs w:val="22"/>
              </w:rPr>
              <w:t>Location</w:t>
            </w:r>
          </w:p>
        </w:tc>
        <w:tc>
          <w:tcPr>
            <w:tcW w:w="8991" w:type="dxa"/>
            <w:tcBorders>
              <w:left w:val="single" w:sz="4" w:space="0" w:color="000000"/>
              <w:bottom w:val="single" w:sz="4" w:space="0" w:color="000000"/>
              <w:right w:val="single" w:sz="4" w:space="0" w:color="000000"/>
            </w:tcBorders>
            <w:shd w:val="clear" w:color="auto" w:fill="auto"/>
          </w:tcPr>
          <w:p w:rsidR="00C45F59" w:rsidRDefault="00C45F59" w:rsidP="006D7190">
            <w:pPr>
              <w:jc w:val="both"/>
            </w:pPr>
            <w:r>
              <w:rPr>
                <w:rFonts w:ascii="Arial Narrow" w:hAnsi="Arial Narrow" w:cs="Arial Narrow"/>
                <w:sz w:val="22"/>
                <w:szCs w:val="22"/>
              </w:rPr>
              <w:t>Charles University</w:t>
            </w:r>
          </w:p>
        </w:tc>
      </w:tr>
      <w:tr w:rsidR="00C45F59" w:rsidTr="006D7190">
        <w:trPr>
          <w:trHeight w:val="61"/>
        </w:trPr>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keepNext/>
              <w:jc w:val="both"/>
              <w:rPr>
                <w:rFonts w:ascii="Arial Narrow" w:hAnsi="Arial Narrow" w:cs="Arial Narrow"/>
                <w:sz w:val="22"/>
                <w:szCs w:val="22"/>
              </w:rPr>
            </w:pPr>
            <w:r>
              <w:rPr>
                <w:rFonts w:ascii="Arial Narrow" w:hAnsi="Arial Narrow" w:cs="Arial Narrow"/>
                <w:sz w:val="22"/>
                <w:szCs w:val="22"/>
              </w:rPr>
              <w:t xml:space="preserve">Date </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snapToGrid w:val="0"/>
              <w:jc w:val="both"/>
              <w:rPr>
                <w:rFonts w:ascii="Arial Narrow" w:hAnsi="Arial Narrow" w:cs="Arial Narrow"/>
                <w:sz w:val="22"/>
                <w:szCs w:val="22"/>
              </w:rPr>
            </w:pPr>
          </w:p>
        </w:tc>
      </w:tr>
      <w:tr w:rsidR="00C45F59" w:rsidTr="006D7190">
        <w:trPr>
          <w:trHeight w:val="175"/>
        </w:trPr>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keepNext/>
              <w:jc w:val="both"/>
              <w:rPr>
                <w:rFonts w:ascii="Arial Narrow" w:hAnsi="Arial Narrow" w:cs="Arial Narrow"/>
                <w:sz w:val="22"/>
                <w:szCs w:val="22"/>
              </w:rPr>
            </w:pPr>
            <w:r>
              <w:rPr>
                <w:rFonts w:ascii="Arial Narrow" w:hAnsi="Arial Narrow" w:cs="Arial Narrow"/>
                <w:sz w:val="22"/>
                <w:szCs w:val="22"/>
              </w:rPr>
              <w:t>Teacher</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jc w:val="both"/>
            </w:pPr>
            <w:proofErr w:type="spellStart"/>
            <w:r>
              <w:rPr>
                <w:rFonts w:ascii="Arial Narrow" w:hAnsi="Arial Narrow" w:cs="Arial Narrow"/>
                <w:sz w:val="22"/>
                <w:szCs w:val="22"/>
              </w:rPr>
              <w:t>Dr.</w:t>
            </w:r>
            <w:proofErr w:type="spellEnd"/>
            <w:r>
              <w:rPr>
                <w:rFonts w:ascii="Arial Narrow" w:hAnsi="Arial Narrow" w:cs="Arial Narrow"/>
                <w:sz w:val="22"/>
                <w:szCs w:val="22"/>
              </w:rPr>
              <w:t xml:space="preserve"> Paul Blokker, Charles University</w:t>
            </w:r>
          </w:p>
        </w:tc>
      </w:tr>
      <w:tr w:rsidR="00C45F59" w:rsidTr="006D7190">
        <w:trPr>
          <w:cantSplit/>
          <w:trHeight w:val="194"/>
        </w:trPr>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jc w:val="both"/>
              <w:rPr>
                <w:rFonts w:ascii="Arial Narrow" w:hAnsi="Arial Narrow" w:cs="Arial Narrow"/>
                <w:sz w:val="22"/>
                <w:szCs w:val="22"/>
              </w:rPr>
            </w:pPr>
            <w:r>
              <w:rPr>
                <w:rFonts w:ascii="Arial Narrow" w:hAnsi="Arial Narrow" w:cs="Arial Narrow"/>
                <w:sz w:val="22"/>
                <w:szCs w:val="22"/>
              </w:rPr>
              <w:t>Credits</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6052E1" w:rsidP="006D7190">
            <w:pPr>
              <w:jc w:val="both"/>
            </w:pPr>
            <w:r>
              <w:rPr>
                <w:rFonts w:ascii="Arial Narrow" w:hAnsi="Arial Narrow" w:cs="Arial Narrow"/>
                <w:sz w:val="22"/>
                <w:szCs w:val="22"/>
              </w:rPr>
              <w:t>7</w:t>
            </w:r>
          </w:p>
        </w:tc>
      </w:tr>
      <w:tr w:rsidR="00C45F59" w:rsidTr="006D7190">
        <w:trPr>
          <w:cantSplit/>
          <w:trHeight w:val="703"/>
        </w:trPr>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jc w:val="both"/>
              <w:rPr>
                <w:rFonts w:ascii="Arial Narrow" w:hAnsi="Arial Narrow" w:cs="Arial Narrow"/>
                <w:b/>
              </w:rPr>
            </w:pPr>
            <w:r>
              <w:rPr>
                <w:rFonts w:ascii="Arial Narrow" w:hAnsi="Arial Narrow" w:cs="Arial Narrow"/>
                <w:b/>
                <w:sz w:val="22"/>
                <w:szCs w:val="22"/>
              </w:rPr>
              <w:t xml:space="preserve">Course Description  </w:t>
            </w:r>
          </w:p>
          <w:p w:rsidR="00C45F59" w:rsidRDefault="00C45F59" w:rsidP="006D7190">
            <w:pPr>
              <w:jc w:val="both"/>
              <w:rPr>
                <w:rFonts w:ascii="Arial Narrow" w:hAnsi="Arial Narrow" w:cs="Arial Narrow"/>
                <w:b/>
              </w:rPr>
            </w:pP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jc w:val="both"/>
              <w:rPr>
                <w:rFonts w:ascii="Arial Narrow" w:hAnsi="Arial Narrow" w:cs="Arial Narrow"/>
                <w:sz w:val="22"/>
                <w:szCs w:val="22"/>
                <w:lang w:val="en-US"/>
              </w:rPr>
            </w:pPr>
            <w:r>
              <w:rPr>
                <w:rFonts w:ascii="Arial Narrow" w:hAnsi="Arial Narrow" w:cs="Arial Narrow"/>
                <w:sz w:val="22"/>
                <w:szCs w:val="22"/>
                <w:lang w:val="en-US"/>
              </w:rPr>
              <w:t>The sociology of constitutions has in recent years emerged as a dynamic and innovative sub-discipline of sociology and the sociology of law, and explores the foundational aspects of a sociology of law and significantly contributes to debates about the role of constitutions in modern societies as well as on the transnational level. The course will discuss various sociological approaches to the study of European constitutionalism, analyze socially relevant dimensions of constitutions (legitimacy, democracy, identity, integration, values), and apply this knowledge in the study of constitutional traditions in Europe. The final part of the course will closely look at emerging constitutional dimensions of the European Union.</w:t>
            </w:r>
          </w:p>
          <w:p w:rsidR="00AC3F5A" w:rsidRPr="00273C7F" w:rsidRDefault="00AC3F5A" w:rsidP="006D7190">
            <w:pPr>
              <w:jc w:val="both"/>
              <w:rPr>
                <w:rFonts w:ascii="Arial Narrow" w:hAnsi="Arial Narrow" w:cs="Arial Narrow"/>
                <w:sz w:val="22"/>
                <w:szCs w:val="22"/>
                <w:lang w:val="en-US"/>
              </w:rPr>
            </w:pPr>
          </w:p>
        </w:tc>
      </w:tr>
      <w:tr w:rsidR="00C45F59" w:rsidTr="006D7190">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rPr>
                <w:rFonts w:ascii="Arial Narrow" w:hAnsi="Arial Narrow" w:cs="Arial Narrow"/>
                <w:sz w:val="22"/>
                <w:szCs w:val="22"/>
              </w:rPr>
            </w:pPr>
            <w:r>
              <w:rPr>
                <w:rFonts w:ascii="Arial Narrow" w:hAnsi="Arial Narrow" w:cs="Arial Narrow"/>
                <w:b/>
                <w:sz w:val="22"/>
                <w:szCs w:val="22"/>
              </w:rPr>
              <w:t>Goal of the Course</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introduce the students to the sociology of constitutions;</w:t>
            </w:r>
          </w:p>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provide insights in the societal context in which constitutions operate;</w:t>
            </w:r>
          </w:p>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obtain knowledge regarding different traditions of constitutionalism in Europe;</w:t>
            </w:r>
          </w:p>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explore constitutional dimensions of the European integration project;</w:t>
            </w:r>
          </w:p>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provide insights into the social operation of the law;</w:t>
            </w:r>
          </w:p>
          <w:p w:rsidR="00C45F59" w:rsidRDefault="00C45F59" w:rsidP="006D7190">
            <w:pPr>
              <w:numPr>
                <w:ilvl w:val="0"/>
                <w:numId w:val="1"/>
              </w:numPr>
              <w:suppressAutoHyphens/>
              <w:jc w:val="both"/>
              <w:rPr>
                <w:rFonts w:ascii="Arial Narrow" w:hAnsi="Arial Narrow" w:cs="Arial Narrow"/>
                <w:sz w:val="22"/>
                <w:szCs w:val="22"/>
              </w:rPr>
            </w:pPr>
            <w:r>
              <w:rPr>
                <w:rFonts w:ascii="Arial Narrow" w:hAnsi="Arial Narrow" w:cs="Arial Narrow"/>
                <w:sz w:val="22"/>
                <w:szCs w:val="22"/>
              </w:rPr>
              <w:t>To explore the changing nature of constitutionalism from the perspective of social functions of constitutions, including axiological, integrative, and participatory functions;</w:t>
            </w:r>
          </w:p>
          <w:p w:rsidR="00C45F59" w:rsidRDefault="00C45F59" w:rsidP="006D7190">
            <w:pPr>
              <w:numPr>
                <w:ilvl w:val="0"/>
                <w:numId w:val="1"/>
              </w:numPr>
              <w:suppressAutoHyphens/>
              <w:jc w:val="both"/>
              <w:rPr>
                <w:rFonts w:ascii="Arial Narrow" w:hAnsi="Arial Narrow" w:cs="Arial Narrow"/>
                <w:b/>
                <w:sz w:val="22"/>
                <w:szCs w:val="22"/>
              </w:rPr>
            </w:pPr>
            <w:r>
              <w:rPr>
                <w:rFonts w:ascii="Arial Narrow" w:hAnsi="Arial Narrow" w:cs="Arial Narrow"/>
                <w:sz w:val="22"/>
                <w:szCs w:val="22"/>
              </w:rPr>
              <w:t>To provide insight into the social embeddedness of rights and constitutional norms.</w:t>
            </w:r>
          </w:p>
          <w:p w:rsidR="00C45F59" w:rsidRDefault="00C45F59" w:rsidP="006D7190">
            <w:pPr>
              <w:ind w:left="360"/>
              <w:jc w:val="both"/>
              <w:rPr>
                <w:rFonts w:ascii="Arial Narrow" w:hAnsi="Arial Narrow" w:cs="Arial Narrow"/>
                <w:b/>
                <w:sz w:val="22"/>
                <w:szCs w:val="22"/>
              </w:rPr>
            </w:pPr>
          </w:p>
        </w:tc>
      </w:tr>
      <w:tr w:rsidR="00C45F59" w:rsidTr="006D7190">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rPr>
                <w:rFonts w:ascii="Arial Narrow" w:hAnsi="Arial Narrow" w:cs="Arial Narrow"/>
                <w:sz w:val="22"/>
                <w:szCs w:val="22"/>
              </w:rPr>
            </w:pPr>
            <w:r>
              <w:rPr>
                <w:rFonts w:ascii="Arial Narrow" w:hAnsi="Arial Narrow" w:cs="Arial Narrow"/>
                <w:b/>
                <w:sz w:val="22"/>
                <w:szCs w:val="22"/>
              </w:rPr>
              <w:t xml:space="preserve">Teaching methodology </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numPr>
                <w:ilvl w:val="0"/>
                <w:numId w:val="2"/>
              </w:numPr>
              <w:suppressAutoHyphens/>
              <w:jc w:val="both"/>
              <w:rPr>
                <w:rFonts w:ascii="Arial Narrow" w:hAnsi="Arial Narrow" w:cs="Arial Narrow"/>
                <w:sz w:val="22"/>
                <w:szCs w:val="22"/>
              </w:rPr>
            </w:pPr>
            <w:r>
              <w:rPr>
                <w:rFonts w:ascii="Arial Narrow" w:hAnsi="Arial Narrow" w:cs="Arial Narrow"/>
                <w:sz w:val="22"/>
                <w:szCs w:val="22"/>
              </w:rPr>
              <w:t>Lectures</w:t>
            </w:r>
          </w:p>
          <w:p w:rsidR="00C45F59" w:rsidRPr="008C5A22" w:rsidRDefault="00C45F59" w:rsidP="006D7190">
            <w:pPr>
              <w:numPr>
                <w:ilvl w:val="0"/>
                <w:numId w:val="2"/>
              </w:numPr>
              <w:suppressAutoHyphens/>
              <w:jc w:val="both"/>
              <w:rPr>
                <w:rFonts w:ascii="Arial Narrow" w:hAnsi="Arial Narrow" w:cs="Arial Narrow"/>
                <w:b/>
                <w:sz w:val="22"/>
                <w:szCs w:val="22"/>
              </w:rPr>
            </w:pPr>
            <w:r>
              <w:rPr>
                <w:rFonts w:ascii="Arial Narrow" w:hAnsi="Arial Narrow" w:cs="Arial Narrow"/>
                <w:sz w:val="22"/>
                <w:szCs w:val="22"/>
              </w:rPr>
              <w:t>In-class debate</w:t>
            </w:r>
          </w:p>
          <w:p w:rsidR="00C45F59" w:rsidRPr="008C5A22" w:rsidRDefault="00C45F59" w:rsidP="006D7190">
            <w:pPr>
              <w:numPr>
                <w:ilvl w:val="0"/>
                <w:numId w:val="2"/>
              </w:numPr>
              <w:suppressAutoHyphens/>
              <w:jc w:val="both"/>
              <w:rPr>
                <w:rFonts w:ascii="Arial Narrow" w:hAnsi="Arial Narrow" w:cs="Arial Narrow"/>
                <w:b/>
                <w:sz w:val="22"/>
                <w:szCs w:val="22"/>
              </w:rPr>
            </w:pPr>
            <w:r>
              <w:rPr>
                <w:rFonts w:ascii="Arial Narrow" w:hAnsi="Arial Narrow" w:cs="Arial Narrow"/>
                <w:sz w:val="22"/>
                <w:szCs w:val="22"/>
              </w:rPr>
              <w:t>Collaborative projects (in-class)</w:t>
            </w:r>
          </w:p>
          <w:p w:rsidR="00C45F59" w:rsidRDefault="00C45F59" w:rsidP="006D7190">
            <w:pPr>
              <w:numPr>
                <w:ilvl w:val="0"/>
                <w:numId w:val="2"/>
              </w:numPr>
              <w:suppressAutoHyphens/>
              <w:jc w:val="both"/>
              <w:rPr>
                <w:rFonts w:ascii="Arial Narrow" w:hAnsi="Arial Narrow" w:cs="Arial Narrow"/>
                <w:b/>
                <w:sz w:val="22"/>
                <w:szCs w:val="22"/>
              </w:rPr>
            </w:pPr>
            <w:r>
              <w:rPr>
                <w:rFonts w:ascii="Arial Narrow" w:hAnsi="Arial Narrow" w:cs="Arial Narrow"/>
                <w:sz w:val="22"/>
                <w:szCs w:val="22"/>
              </w:rPr>
              <w:t>Class presentations</w:t>
            </w:r>
          </w:p>
          <w:p w:rsidR="00C45F59" w:rsidRDefault="00C45F59" w:rsidP="006D7190">
            <w:pPr>
              <w:ind w:left="360"/>
              <w:jc w:val="both"/>
              <w:rPr>
                <w:rFonts w:ascii="Arial Narrow" w:hAnsi="Arial Narrow" w:cs="Arial Narrow"/>
                <w:b/>
                <w:sz w:val="22"/>
                <w:szCs w:val="22"/>
              </w:rPr>
            </w:pPr>
          </w:p>
        </w:tc>
      </w:tr>
      <w:tr w:rsidR="00C45F59" w:rsidTr="006D7190">
        <w:tc>
          <w:tcPr>
            <w:tcW w:w="1560" w:type="dxa"/>
            <w:tcBorders>
              <w:top w:val="single" w:sz="4" w:space="0" w:color="000000"/>
              <w:left w:val="single" w:sz="4" w:space="0" w:color="000000"/>
              <w:bottom w:val="single" w:sz="4" w:space="0" w:color="000000"/>
            </w:tcBorders>
            <w:shd w:val="clear" w:color="auto" w:fill="auto"/>
          </w:tcPr>
          <w:p w:rsidR="00C45F59" w:rsidRDefault="00C45F59" w:rsidP="006D7190">
            <w:pPr>
              <w:rPr>
                <w:rFonts w:ascii="Arial Narrow" w:hAnsi="Arial Narrow" w:cs="Arial Narrow"/>
                <w:sz w:val="22"/>
                <w:szCs w:val="22"/>
              </w:rPr>
            </w:pPr>
            <w:r>
              <w:rPr>
                <w:rFonts w:ascii="Arial Narrow" w:hAnsi="Arial Narrow" w:cs="Arial Narrow"/>
                <w:b/>
                <w:sz w:val="22"/>
                <w:szCs w:val="22"/>
              </w:rPr>
              <w:t>Final exam</w:t>
            </w:r>
          </w:p>
        </w:tc>
        <w:tc>
          <w:tcPr>
            <w:tcW w:w="8991" w:type="dxa"/>
            <w:tcBorders>
              <w:top w:val="single" w:sz="4" w:space="0" w:color="000000"/>
              <w:left w:val="single" w:sz="4" w:space="0" w:color="000000"/>
              <w:bottom w:val="single" w:sz="4" w:space="0" w:color="000000"/>
              <w:right w:val="single" w:sz="4" w:space="0" w:color="000000"/>
            </w:tcBorders>
            <w:shd w:val="clear" w:color="auto" w:fill="auto"/>
          </w:tcPr>
          <w:p w:rsidR="00C45F59" w:rsidRDefault="00C45F59" w:rsidP="006D7190">
            <w:pPr>
              <w:numPr>
                <w:ilvl w:val="0"/>
                <w:numId w:val="2"/>
              </w:numPr>
              <w:suppressAutoHyphens/>
              <w:jc w:val="both"/>
            </w:pPr>
            <w:r>
              <w:rPr>
                <w:rFonts w:ascii="Arial Narrow" w:hAnsi="Arial Narrow" w:cs="Arial Narrow"/>
                <w:sz w:val="22"/>
                <w:szCs w:val="22"/>
              </w:rPr>
              <w:t>Final essay</w:t>
            </w:r>
          </w:p>
        </w:tc>
      </w:tr>
      <w:tr w:rsidR="00C45F59" w:rsidTr="006D7190">
        <w:tc>
          <w:tcPr>
            <w:tcW w:w="1560" w:type="dxa"/>
            <w:tcBorders>
              <w:top w:val="single" w:sz="4" w:space="0" w:color="000000"/>
              <w:left w:val="single" w:sz="4" w:space="0" w:color="000000"/>
              <w:bottom w:val="single" w:sz="4" w:space="0" w:color="000000"/>
            </w:tcBorders>
            <w:shd w:val="clear" w:color="auto" w:fill="C0C0C0"/>
          </w:tcPr>
          <w:p w:rsidR="00C45F59" w:rsidRDefault="00C45F59" w:rsidP="006D7190">
            <w:pPr>
              <w:snapToGrid w:val="0"/>
              <w:jc w:val="both"/>
              <w:rPr>
                <w:rFonts w:ascii="Arial Narrow" w:hAnsi="Arial Narrow" w:cs="Arial Narrow"/>
                <w:b/>
                <w:sz w:val="22"/>
                <w:szCs w:val="22"/>
              </w:rPr>
            </w:pPr>
          </w:p>
        </w:tc>
        <w:tc>
          <w:tcPr>
            <w:tcW w:w="8991" w:type="dxa"/>
            <w:tcBorders>
              <w:top w:val="single" w:sz="4" w:space="0" w:color="000000"/>
              <w:left w:val="single" w:sz="4" w:space="0" w:color="000000"/>
              <w:bottom w:val="single" w:sz="4" w:space="0" w:color="000000"/>
              <w:right w:val="single" w:sz="4" w:space="0" w:color="000000"/>
            </w:tcBorders>
            <w:shd w:val="clear" w:color="auto" w:fill="C0C0C0"/>
          </w:tcPr>
          <w:p w:rsidR="00C45F59" w:rsidRDefault="00C45F59" w:rsidP="006D7190">
            <w:pPr>
              <w:snapToGrid w:val="0"/>
              <w:jc w:val="both"/>
              <w:rPr>
                <w:rFonts w:ascii="Arial Narrow" w:hAnsi="Arial Narrow" w:cs="Arial Narrow"/>
                <w:b/>
              </w:rPr>
            </w:pPr>
          </w:p>
        </w:tc>
      </w:tr>
      <w:tr w:rsidR="00C45F59" w:rsidTr="006D7190">
        <w:tc>
          <w:tcPr>
            <w:tcW w:w="1560" w:type="dxa"/>
            <w:tcBorders>
              <w:top w:val="single" w:sz="4" w:space="0" w:color="000000"/>
              <w:left w:val="single" w:sz="4" w:space="0" w:color="000000"/>
              <w:bottom w:val="single" w:sz="4" w:space="0" w:color="000000"/>
            </w:tcBorders>
            <w:shd w:val="clear" w:color="auto" w:fill="C0C0C0"/>
          </w:tcPr>
          <w:p w:rsidR="00C45F59" w:rsidRDefault="00C45F59" w:rsidP="006D7190">
            <w:pPr>
              <w:snapToGrid w:val="0"/>
              <w:jc w:val="both"/>
              <w:rPr>
                <w:rFonts w:ascii="Arial Narrow" w:hAnsi="Arial Narrow" w:cs="Arial Narrow"/>
                <w:b/>
              </w:rPr>
            </w:pPr>
          </w:p>
        </w:tc>
        <w:tc>
          <w:tcPr>
            <w:tcW w:w="8991" w:type="dxa"/>
            <w:tcBorders>
              <w:top w:val="single" w:sz="4" w:space="0" w:color="000000"/>
              <w:left w:val="single" w:sz="4" w:space="0" w:color="000000"/>
              <w:bottom w:val="single" w:sz="4" w:space="0" w:color="000000"/>
              <w:right w:val="single" w:sz="4" w:space="0" w:color="000000"/>
            </w:tcBorders>
            <w:shd w:val="clear" w:color="auto" w:fill="C0C0C0"/>
          </w:tcPr>
          <w:p w:rsidR="00C45F59" w:rsidRDefault="00C45F59" w:rsidP="006D7190">
            <w:pPr>
              <w:snapToGrid w:val="0"/>
              <w:jc w:val="both"/>
              <w:rPr>
                <w:rFonts w:ascii="Arial Narrow" w:hAnsi="Arial Narrow" w:cs="Arial Narrow"/>
                <w:b/>
              </w:rPr>
            </w:pPr>
          </w:p>
        </w:tc>
      </w:tr>
    </w:tbl>
    <w:p w:rsidR="00C45F59" w:rsidRDefault="00C45F59" w:rsidP="00C45F59">
      <w:pPr>
        <w:rPr>
          <w:rFonts w:ascii="Arial Narrow" w:hAnsi="Arial Narrow" w:cs="Arial Narrow"/>
          <w:sz w:val="22"/>
          <w:szCs w:val="22"/>
          <w:lang w:val="en-US"/>
        </w:rPr>
      </w:pPr>
    </w:p>
    <w:tbl>
      <w:tblPr>
        <w:tblW w:w="0" w:type="auto"/>
        <w:tblCellMar>
          <w:left w:w="0" w:type="dxa"/>
          <w:right w:w="0" w:type="dxa"/>
        </w:tblCellMar>
        <w:tblLook w:val="04A0" w:firstRow="1" w:lastRow="0" w:firstColumn="1" w:lastColumn="0" w:noHBand="0" w:noVBand="1"/>
      </w:tblPr>
      <w:tblGrid>
        <w:gridCol w:w="4690"/>
        <w:gridCol w:w="1134"/>
      </w:tblGrid>
      <w:tr w:rsidR="009757AF" w:rsidRPr="009757AF" w:rsidTr="000D3A81">
        <w:tc>
          <w:tcPr>
            <w:tcW w:w="58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jc w:val="center"/>
              <w:rPr>
                <w:rFonts w:ascii="Arial Narrow" w:hAnsi="Arial Narrow"/>
                <w:lang w:eastAsia="it-IT"/>
              </w:rPr>
            </w:pPr>
            <w:r w:rsidRPr="009757AF">
              <w:rPr>
                <w:rFonts w:ascii="Arial Narrow" w:hAnsi="Arial Narrow"/>
                <w:i/>
                <w:iCs/>
                <w:lang w:eastAsia="it-IT"/>
              </w:rPr>
              <w:t>Hourly demands course:</w:t>
            </w:r>
          </w:p>
        </w:tc>
      </w:tr>
      <w:tr w:rsidR="009757AF" w:rsidRPr="009757AF" w:rsidTr="000D3A81">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rPr>
                <w:rFonts w:ascii="Arial Narrow" w:hAnsi="Arial Narrow"/>
                <w:lang w:eastAsia="it-IT"/>
              </w:rPr>
            </w:pPr>
            <w:r w:rsidRPr="009757AF">
              <w:rPr>
                <w:rFonts w:ascii="Arial Narrow" w:hAnsi="Arial Narrow"/>
                <w:lang w:eastAsia="it-IT"/>
              </w:rPr>
              <w:t xml:space="preserve">Lectures attendance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rPr>
                <w:rFonts w:ascii="Arial Narrow" w:hAnsi="Arial Narrow"/>
                <w:lang w:eastAsia="it-IT"/>
              </w:rPr>
            </w:pPr>
            <w:r w:rsidRPr="009757AF">
              <w:rPr>
                <w:rFonts w:ascii="Arial Narrow" w:hAnsi="Arial Narrow"/>
                <w:lang w:eastAsia="it-IT"/>
              </w:rPr>
              <w:t>18 h</w:t>
            </w:r>
          </w:p>
        </w:tc>
      </w:tr>
      <w:tr w:rsidR="009757AF" w:rsidRPr="009757AF" w:rsidTr="000D3A81">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rPr>
                <w:rFonts w:ascii="Arial Narrow" w:hAnsi="Arial Narrow"/>
                <w:lang w:eastAsia="it-IT"/>
              </w:rPr>
            </w:pPr>
            <w:r w:rsidRPr="009757AF">
              <w:rPr>
                <w:rFonts w:ascii="Arial Narrow" w:hAnsi="Arial Narrow"/>
                <w:lang w:eastAsia="it-IT"/>
              </w:rPr>
              <w:t>Essay preparation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757AF" w:rsidRPr="009757AF" w:rsidRDefault="00DE33D1" w:rsidP="000D3A81">
            <w:pPr>
              <w:spacing w:before="100" w:beforeAutospacing="1" w:after="100" w:afterAutospacing="1"/>
              <w:rPr>
                <w:rFonts w:ascii="Arial Narrow" w:hAnsi="Arial Narrow"/>
                <w:lang w:eastAsia="it-IT"/>
              </w:rPr>
            </w:pPr>
            <w:r>
              <w:rPr>
                <w:rFonts w:ascii="Arial Narrow" w:hAnsi="Arial Narrow"/>
                <w:lang w:eastAsia="it-IT"/>
              </w:rPr>
              <w:t>10</w:t>
            </w:r>
            <w:r w:rsidR="00076FEB">
              <w:rPr>
                <w:rFonts w:ascii="Arial Narrow" w:hAnsi="Arial Narrow"/>
                <w:lang w:eastAsia="it-IT"/>
              </w:rPr>
              <w:t>2</w:t>
            </w:r>
            <w:r w:rsidR="009757AF" w:rsidRPr="009757AF">
              <w:rPr>
                <w:rFonts w:ascii="Arial Narrow" w:hAnsi="Arial Narrow"/>
                <w:lang w:eastAsia="it-IT"/>
              </w:rPr>
              <w:t xml:space="preserve"> h</w:t>
            </w:r>
          </w:p>
        </w:tc>
      </w:tr>
      <w:tr w:rsidR="00EF7B4A" w:rsidRPr="009757AF" w:rsidTr="000D3A81">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7B4A" w:rsidRPr="009757AF" w:rsidRDefault="00EF7B4A" w:rsidP="000D3A81">
            <w:pPr>
              <w:spacing w:before="100" w:beforeAutospacing="1" w:after="100" w:afterAutospacing="1"/>
              <w:rPr>
                <w:rFonts w:ascii="Arial Narrow" w:hAnsi="Arial Narrow"/>
                <w:lang w:eastAsia="it-IT"/>
              </w:rPr>
            </w:pPr>
            <w:r>
              <w:rPr>
                <w:rFonts w:ascii="Arial Narrow" w:hAnsi="Arial Narrow"/>
                <w:lang w:eastAsia="it-IT"/>
              </w:rPr>
              <w:t>Preparation in-class projects, presentations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F7B4A" w:rsidRDefault="00EF7B4A" w:rsidP="000D3A81">
            <w:pPr>
              <w:spacing w:before="100" w:beforeAutospacing="1" w:after="100" w:afterAutospacing="1"/>
              <w:rPr>
                <w:rFonts w:ascii="Arial Narrow" w:hAnsi="Arial Narrow"/>
                <w:lang w:eastAsia="it-IT"/>
              </w:rPr>
            </w:pPr>
            <w:r>
              <w:rPr>
                <w:rFonts w:ascii="Arial Narrow" w:hAnsi="Arial Narrow"/>
                <w:lang w:eastAsia="it-IT"/>
              </w:rPr>
              <w:t>20 h</w:t>
            </w:r>
          </w:p>
        </w:tc>
      </w:tr>
      <w:tr w:rsidR="009757AF" w:rsidRPr="009757AF" w:rsidTr="000D3A81">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rPr>
                <w:rFonts w:ascii="Arial Narrow" w:hAnsi="Arial Narrow"/>
                <w:lang w:eastAsia="it-IT"/>
              </w:rPr>
            </w:pPr>
            <w:r w:rsidRPr="009757AF">
              <w:rPr>
                <w:rFonts w:ascii="Arial Narrow" w:hAnsi="Arial Narrow"/>
                <w:lang w:eastAsia="it-IT"/>
              </w:rPr>
              <w:t xml:space="preserve">Self-study preparation, readings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757AF" w:rsidRPr="009757AF" w:rsidRDefault="00DE33D1" w:rsidP="000D3A81">
            <w:pPr>
              <w:spacing w:before="100" w:beforeAutospacing="1" w:after="100" w:afterAutospacing="1"/>
              <w:rPr>
                <w:rFonts w:ascii="Arial Narrow" w:hAnsi="Arial Narrow"/>
                <w:lang w:eastAsia="it-IT"/>
              </w:rPr>
            </w:pPr>
            <w:r>
              <w:rPr>
                <w:rFonts w:ascii="Arial Narrow" w:hAnsi="Arial Narrow"/>
                <w:lang w:eastAsia="it-IT"/>
              </w:rPr>
              <w:t>100</w:t>
            </w:r>
            <w:r w:rsidR="009757AF" w:rsidRPr="009757AF">
              <w:rPr>
                <w:rFonts w:ascii="Arial Narrow" w:hAnsi="Arial Narrow"/>
                <w:lang w:eastAsia="it-IT"/>
              </w:rPr>
              <w:t xml:space="preserve"> h</w:t>
            </w:r>
          </w:p>
        </w:tc>
      </w:tr>
      <w:tr w:rsidR="009757AF" w:rsidRPr="009757AF" w:rsidTr="000D3A81">
        <w:tc>
          <w:tcPr>
            <w:tcW w:w="4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57AF" w:rsidRPr="009757AF" w:rsidRDefault="009757AF" w:rsidP="000D3A81">
            <w:pPr>
              <w:spacing w:before="100" w:beforeAutospacing="1" w:after="100" w:afterAutospacing="1"/>
              <w:rPr>
                <w:rFonts w:ascii="Arial Narrow" w:hAnsi="Arial Narrow"/>
                <w:lang w:eastAsia="it-IT"/>
              </w:rPr>
            </w:pPr>
            <w:r w:rsidRPr="009757AF">
              <w:rPr>
                <w:rFonts w:ascii="Arial Narrow" w:hAnsi="Arial Narrow"/>
                <w:b/>
                <w:bCs/>
                <w:i/>
                <w:iCs/>
                <w:lang w:eastAsia="it-IT"/>
              </w:rPr>
              <w:t>In sum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757AF" w:rsidRPr="009757AF" w:rsidRDefault="00DE33D1" w:rsidP="000D3A81">
            <w:pPr>
              <w:spacing w:before="100" w:beforeAutospacing="1" w:after="100" w:afterAutospacing="1"/>
              <w:rPr>
                <w:rFonts w:ascii="Arial Narrow" w:hAnsi="Arial Narrow"/>
                <w:lang w:eastAsia="it-IT"/>
              </w:rPr>
            </w:pPr>
            <w:r>
              <w:rPr>
                <w:rFonts w:ascii="Arial Narrow" w:hAnsi="Arial Narrow"/>
                <w:b/>
                <w:bCs/>
                <w:i/>
                <w:iCs/>
                <w:lang w:eastAsia="it-IT"/>
              </w:rPr>
              <w:t>2</w:t>
            </w:r>
            <w:r w:rsidR="00076FEB">
              <w:rPr>
                <w:rFonts w:ascii="Arial Narrow" w:hAnsi="Arial Narrow"/>
                <w:b/>
                <w:bCs/>
                <w:i/>
                <w:iCs/>
                <w:lang w:eastAsia="it-IT"/>
              </w:rPr>
              <w:t>40</w:t>
            </w:r>
            <w:r w:rsidR="009757AF" w:rsidRPr="009757AF">
              <w:rPr>
                <w:rFonts w:ascii="Arial Narrow" w:hAnsi="Arial Narrow"/>
                <w:b/>
                <w:bCs/>
                <w:i/>
                <w:iCs/>
                <w:lang w:eastAsia="it-IT"/>
              </w:rPr>
              <w:t xml:space="preserve"> h</w:t>
            </w:r>
          </w:p>
        </w:tc>
      </w:tr>
    </w:tbl>
    <w:p w:rsidR="009757AF" w:rsidRPr="009757AF" w:rsidRDefault="009757AF" w:rsidP="009757AF">
      <w:pPr>
        <w:rPr>
          <w:rFonts w:ascii="Arial Narrow" w:hAnsi="Arial Narrow"/>
          <w:lang w:val="en-US"/>
        </w:rPr>
      </w:pPr>
    </w:p>
    <w:p w:rsidR="009757AF" w:rsidRDefault="009757AF" w:rsidP="009757AF">
      <w:pPr>
        <w:jc w:val="both"/>
        <w:rPr>
          <w:rFonts w:ascii="Arial Narrow" w:hAnsi="Arial Narrow"/>
          <w:lang w:val="en-US"/>
        </w:rPr>
      </w:pPr>
      <w:r w:rsidRPr="009757AF">
        <w:rPr>
          <w:rFonts w:ascii="Arial Narrow" w:hAnsi="Arial Narrow"/>
          <w:lang w:val="en-US"/>
        </w:rPr>
        <w:t>*At CU, 1 credit stands for 30 hours of a student's work. E.g. attending 12 lectures (12 x 1.5 hour=18 hours) equals 0.65 credit. Obligatory readings (12</w:t>
      </w:r>
      <w:r w:rsidR="001709BE">
        <w:rPr>
          <w:rFonts w:ascii="Arial Narrow" w:hAnsi="Arial Narrow"/>
          <w:lang w:val="en-US"/>
        </w:rPr>
        <w:t xml:space="preserve"> x 25 pages = </w:t>
      </w:r>
      <w:r w:rsidRPr="009757AF">
        <w:rPr>
          <w:rFonts w:ascii="Arial Narrow" w:hAnsi="Arial Narrow"/>
          <w:lang w:val="en-US"/>
        </w:rPr>
        <w:t>55 hours) equal 1.8 credit. The home study for the oral examination (120 hours) equal 4 credits. And so on with other assignments (essays, presentations, take home assignments).</w:t>
      </w:r>
    </w:p>
    <w:p w:rsidR="00630C9E" w:rsidRDefault="00630C9E" w:rsidP="009757AF">
      <w:pPr>
        <w:jc w:val="both"/>
        <w:rPr>
          <w:rFonts w:ascii="Arial Narrow" w:hAnsi="Arial Narrow"/>
          <w:lang w:val="en-US"/>
        </w:rPr>
      </w:pPr>
    </w:p>
    <w:p w:rsidR="009757AF" w:rsidRDefault="009757AF" w:rsidP="00C45F59">
      <w:pPr>
        <w:pBdr>
          <w:bottom w:val="single" w:sz="6" w:space="1" w:color="auto"/>
        </w:pBd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14539" w:rsidRDefault="00C1453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bCs/>
          <w:lang w:val="en-US"/>
        </w:rPr>
        <w:t xml:space="preserve">Weekly </w:t>
      </w:r>
      <w:proofErr w:type="spellStart"/>
      <w:r>
        <w:rPr>
          <w:rFonts w:ascii="Arial Narrow" w:hAnsi="Arial Narrow" w:cs="Arial Narrow"/>
          <w:b/>
          <w:bCs/>
          <w:lang w:val="en-US"/>
        </w:rPr>
        <w:t>programme</w:t>
      </w:r>
      <w:proofErr w:type="spellEnd"/>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1</w:t>
      </w:r>
      <w:r>
        <w:rPr>
          <w:rFonts w:ascii="Arial Narrow" w:hAnsi="Arial Narrow" w:cs="Arial Narrow"/>
          <w:b/>
          <w:sz w:val="22"/>
          <w:szCs w:val="22"/>
          <w:lang w:val="en-US"/>
        </w:rPr>
        <w:tab/>
        <w:t>Introduction to the course</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The sociology of constitutions understands constitutions in a context-sensitive manner. Different approaches to a constitutional sociology can be identified, including </w:t>
      </w:r>
      <w:proofErr w:type="spellStart"/>
      <w:r>
        <w:rPr>
          <w:rFonts w:ascii="Arial Narrow" w:hAnsi="Arial Narrow" w:cs="Arial Narrow"/>
          <w:sz w:val="22"/>
          <w:szCs w:val="22"/>
          <w:lang w:val="en-US"/>
        </w:rPr>
        <w:t>Luhmannian</w:t>
      </w:r>
      <w:proofErr w:type="spellEnd"/>
      <w:r>
        <w:rPr>
          <w:rFonts w:ascii="Arial Narrow" w:hAnsi="Arial Narrow" w:cs="Arial Narrow"/>
          <w:sz w:val="22"/>
          <w:szCs w:val="22"/>
          <w:lang w:val="en-US"/>
        </w:rPr>
        <w:t>, historical-sociological, and political-sociological approaches. The sociological approach will be utilized in the exploration of constitutional traditions in European countries and of the European Union at large.</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F70A89" w:rsidP="00C45F59">
      <w:pPr>
        <w:jc w:val="both"/>
        <w:rPr>
          <w:rFonts w:ascii="Arial Narrow" w:hAnsi="Arial Narrow" w:cs="Arial Narrow"/>
          <w:sz w:val="22"/>
          <w:szCs w:val="22"/>
          <w:lang w:val="en-US"/>
        </w:rPr>
      </w:pPr>
      <w:r w:rsidRPr="00F70A89">
        <w:rPr>
          <w:rFonts w:ascii="Arial Narrow" w:hAnsi="Arial Narrow" w:cs="Arial Narrow"/>
          <w:sz w:val="22"/>
          <w:szCs w:val="22"/>
          <w:lang w:val="en-US"/>
        </w:rPr>
        <w:t xml:space="preserve">Thornhill, C., 2017. "The Sociology of Constitutions". </w:t>
      </w:r>
      <w:r w:rsidRPr="00F70A89">
        <w:rPr>
          <w:rFonts w:ascii="Arial Narrow" w:hAnsi="Arial Narrow" w:cs="Arial Narrow"/>
          <w:i/>
          <w:sz w:val="22"/>
          <w:szCs w:val="22"/>
          <w:lang w:val="en-US"/>
        </w:rPr>
        <w:t>Annual Review of Law and Social Science</w:t>
      </w:r>
      <w:r w:rsidRPr="00F70A89">
        <w:rPr>
          <w:rFonts w:ascii="Arial Narrow" w:hAnsi="Arial Narrow" w:cs="Arial Narrow"/>
          <w:sz w:val="22"/>
          <w:szCs w:val="22"/>
          <w:lang w:val="en-US"/>
        </w:rPr>
        <w:t>, 13, pp.493-513.</w:t>
      </w:r>
      <w:bookmarkStart w:id="1" w:name="_GoBack"/>
      <w:bookmarkEnd w:id="1"/>
    </w:p>
    <w:p w:rsidR="00C45F59" w:rsidRDefault="00C45F59" w:rsidP="00C45F59">
      <w:pPr>
        <w:jc w:val="both"/>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Blokker, Paul. "Democratic Ethics, Constitutional Dimensions, and </w:t>
      </w:r>
      <w:proofErr w:type="spellStart"/>
      <w:r>
        <w:rPr>
          <w:rFonts w:ascii="Arial Narrow" w:hAnsi="Arial Narrow" w:cs="Arial Narrow"/>
          <w:sz w:val="22"/>
          <w:szCs w:val="22"/>
          <w:lang w:val="en-US"/>
        </w:rPr>
        <w:t>Constitutionalisms</w:t>
      </w:r>
      <w:proofErr w:type="spellEnd"/>
      <w:r>
        <w:rPr>
          <w:rFonts w:ascii="Arial Narrow" w:hAnsi="Arial Narrow" w:cs="Arial Narrow"/>
          <w:sz w:val="22"/>
          <w:szCs w:val="22"/>
          <w:lang w:val="en-US"/>
        </w:rPr>
        <w:t xml:space="preserve">." </w:t>
      </w:r>
      <w:r>
        <w:rPr>
          <w:rFonts w:ascii="Arial Narrow" w:hAnsi="Arial Narrow" w:cs="Arial Narrow"/>
          <w:i/>
          <w:sz w:val="22"/>
          <w:szCs w:val="22"/>
          <w:lang w:val="en-US"/>
        </w:rPr>
        <w:t>Central Eastern European after Transition: Towards a new socio-legal semantics</w:t>
      </w:r>
      <w:r>
        <w:rPr>
          <w:rFonts w:ascii="Arial Narrow" w:hAnsi="Arial Narrow" w:cs="Arial Narrow"/>
          <w:sz w:val="22"/>
          <w:szCs w:val="22"/>
          <w:lang w:val="en-US"/>
        </w:rPr>
        <w:t xml:space="preserve">, A. </w:t>
      </w:r>
      <w:proofErr w:type="spellStart"/>
      <w:r>
        <w:rPr>
          <w:rFonts w:ascii="Arial Narrow" w:hAnsi="Arial Narrow" w:cs="Arial Narrow"/>
          <w:sz w:val="22"/>
          <w:szCs w:val="22"/>
          <w:lang w:val="en-US"/>
        </w:rPr>
        <w:t>Febbrajo</w:t>
      </w:r>
      <w:proofErr w:type="spellEnd"/>
      <w:r>
        <w:rPr>
          <w:rFonts w:ascii="Arial Narrow" w:hAnsi="Arial Narrow" w:cs="Arial Narrow"/>
          <w:sz w:val="22"/>
          <w:szCs w:val="22"/>
          <w:lang w:val="en-US"/>
        </w:rPr>
        <w:t xml:space="preserve"> &amp; W. </w:t>
      </w:r>
      <w:proofErr w:type="spellStart"/>
      <w:r>
        <w:rPr>
          <w:rFonts w:ascii="Arial Narrow" w:hAnsi="Arial Narrow" w:cs="Arial Narrow"/>
          <w:sz w:val="22"/>
          <w:szCs w:val="22"/>
          <w:lang w:val="en-US"/>
        </w:rPr>
        <w:t>Sadurski</w:t>
      </w:r>
      <w:proofErr w:type="spellEnd"/>
      <w:r>
        <w:rPr>
          <w:rFonts w:ascii="Arial Narrow" w:hAnsi="Arial Narrow" w:cs="Arial Narrow"/>
          <w:sz w:val="22"/>
          <w:szCs w:val="22"/>
          <w:lang w:val="en-US"/>
        </w:rPr>
        <w:t>, eds., Ashgate (2010)</w:t>
      </w:r>
      <w:r w:rsidR="00F649B6">
        <w:rPr>
          <w:rFonts w:ascii="Arial Narrow" w:hAnsi="Arial Narrow" w:cs="Arial Narrow"/>
          <w:sz w:val="22"/>
          <w:szCs w:val="22"/>
          <w:lang w:val="en-US"/>
        </w:rPr>
        <w:t xml:space="preserve">, </w:t>
      </w:r>
      <w:r w:rsidR="00F649B6" w:rsidRPr="00F649B6">
        <w:rPr>
          <w:rFonts w:ascii="Arial Narrow" w:hAnsi="Arial Narrow" w:cs="Arial Narrow"/>
          <w:sz w:val="22"/>
          <w:szCs w:val="22"/>
          <w:lang w:val="en-US"/>
        </w:rPr>
        <w:t>pp. 73-98</w:t>
      </w:r>
      <w:r>
        <w:rPr>
          <w:rFonts w:ascii="Arial Narrow" w:hAnsi="Arial Narrow" w:cs="Arial Narrow"/>
          <w:sz w:val="22"/>
          <w:szCs w:val="22"/>
          <w:lang w:val="en-US"/>
        </w:rPr>
        <w:t>.</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 xml:space="preserve">Week 2 </w:t>
      </w:r>
      <w:r>
        <w:rPr>
          <w:rFonts w:ascii="Arial Narrow" w:hAnsi="Arial Narrow" w:cs="Arial Narrow"/>
          <w:b/>
          <w:sz w:val="22"/>
          <w:szCs w:val="22"/>
          <w:lang w:val="en-US"/>
        </w:rPr>
        <w:tab/>
        <w:t>Constitutions and constitutional traditions in Europe</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The making of constitutions is a unique historical event, and the way constitutions are structured and relate to their socio-political environment is strongly context dependent. This means that even if processes of Europeanization and supranational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play an important role in domestic European societies, distinctive national constitutional cultures and traditions keep on playing an important role.</w:t>
      </w:r>
    </w:p>
    <w:p w:rsidR="00C45F59" w:rsidRDefault="00C45F59" w:rsidP="00C45F59">
      <w:pPr>
        <w:jc w:val="both"/>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r w:rsidRPr="00F347BC">
        <w:rPr>
          <w:rFonts w:ascii="Arial Narrow" w:hAnsi="Arial Narrow" w:cs="Arial Narrow"/>
          <w:sz w:val="22"/>
          <w:szCs w:val="22"/>
          <w:lang w:val="en-US"/>
        </w:rPr>
        <w:t xml:space="preserve">Rosenfeld, Michel. "Constitutional adjudication in Europe and the United States: paradoxes and contrasts." </w:t>
      </w:r>
      <w:r w:rsidRPr="00224CE3">
        <w:rPr>
          <w:rFonts w:ascii="Arial Narrow" w:hAnsi="Arial Narrow" w:cs="Arial Narrow"/>
          <w:i/>
          <w:sz w:val="22"/>
          <w:szCs w:val="22"/>
          <w:lang w:val="en-US"/>
        </w:rPr>
        <w:t>International Journal of Constitutional Law</w:t>
      </w:r>
      <w:r w:rsidRPr="00F347BC">
        <w:rPr>
          <w:rFonts w:ascii="Arial Narrow" w:hAnsi="Arial Narrow" w:cs="Arial Narrow"/>
          <w:sz w:val="22"/>
          <w:szCs w:val="22"/>
          <w:lang w:val="en-US"/>
        </w:rPr>
        <w:t xml:space="preserve"> 2.2 (2004)</w:t>
      </w:r>
      <w:r w:rsidR="00F649B6">
        <w:rPr>
          <w:rFonts w:ascii="Arial Narrow" w:hAnsi="Arial Narrow" w:cs="Arial Narrow"/>
          <w:sz w:val="22"/>
          <w:szCs w:val="22"/>
          <w:lang w:val="en-US"/>
        </w:rPr>
        <w:t>, 633-668</w:t>
      </w:r>
      <w:r w:rsidRPr="00F347BC">
        <w:rPr>
          <w:rFonts w:ascii="Arial Narrow" w:hAnsi="Arial Narrow" w:cs="Arial Narrow"/>
          <w:sz w:val="22"/>
          <w:szCs w:val="22"/>
          <w:lang w:val="en-US"/>
        </w:rPr>
        <w:t>.</w:t>
      </w:r>
    </w:p>
    <w:p w:rsidR="00C45F59" w:rsidRDefault="00C45F59" w:rsidP="00C45F59">
      <w:pPr>
        <w:jc w:val="both"/>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r w:rsidRPr="00F347BC">
        <w:rPr>
          <w:rFonts w:ascii="Arial Narrow" w:hAnsi="Arial Narrow" w:cs="Arial Narrow"/>
          <w:sz w:val="22"/>
          <w:szCs w:val="22"/>
          <w:lang w:val="en-US"/>
        </w:rPr>
        <w:t xml:space="preserve">Scholl, Bruno. </w:t>
      </w:r>
      <w:r>
        <w:rPr>
          <w:rFonts w:ascii="Arial Narrow" w:hAnsi="Arial Narrow" w:cs="Arial Narrow"/>
          <w:sz w:val="22"/>
          <w:szCs w:val="22"/>
          <w:lang w:val="en-US"/>
        </w:rPr>
        <w:t>‘</w:t>
      </w:r>
      <w:r w:rsidRPr="00F347BC">
        <w:rPr>
          <w:rFonts w:ascii="Arial Narrow" w:hAnsi="Arial Narrow" w:cs="Arial Narrow"/>
          <w:sz w:val="22"/>
          <w:szCs w:val="22"/>
          <w:lang w:val="en-US"/>
        </w:rPr>
        <w:t>The impact of constitutional traditions on the EU-reform discourse in Austria, France, Germany and the UK</w:t>
      </w:r>
      <w:r>
        <w:rPr>
          <w:rFonts w:ascii="Arial Narrow" w:hAnsi="Arial Narrow" w:cs="Arial Narrow"/>
          <w:sz w:val="22"/>
          <w:szCs w:val="22"/>
          <w:lang w:val="en-US"/>
        </w:rPr>
        <w:t>’</w:t>
      </w:r>
      <w:r w:rsidRPr="00F347BC">
        <w:rPr>
          <w:rFonts w:ascii="Arial Narrow" w:hAnsi="Arial Narrow" w:cs="Arial Narrow"/>
          <w:sz w:val="22"/>
          <w:szCs w:val="22"/>
          <w:lang w:val="en-US"/>
        </w:rPr>
        <w:t xml:space="preserve">. VS Verlag </w:t>
      </w:r>
      <w:proofErr w:type="spellStart"/>
      <w:r w:rsidRPr="00F347BC">
        <w:rPr>
          <w:rFonts w:ascii="Arial Narrow" w:hAnsi="Arial Narrow" w:cs="Arial Narrow"/>
          <w:sz w:val="22"/>
          <w:szCs w:val="22"/>
          <w:lang w:val="en-US"/>
        </w:rPr>
        <w:t>für</w:t>
      </w:r>
      <w:proofErr w:type="spellEnd"/>
      <w:r w:rsidRPr="00F347BC">
        <w:rPr>
          <w:rFonts w:ascii="Arial Narrow" w:hAnsi="Arial Narrow" w:cs="Arial Narrow"/>
          <w:sz w:val="22"/>
          <w:szCs w:val="22"/>
          <w:lang w:val="en-US"/>
        </w:rPr>
        <w:t xml:space="preserve"> </w:t>
      </w:r>
      <w:proofErr w:type="spellStart"/>
      <w:r w:rsidRPr="00F347BC">
        <w:rPr>
          <w:rFonts w:ascii="Arial Narrow" w:hAnsi="Arial Narrow" w:cs="Arial Narrow"/>
          <w:sz w:val="22"/>
          <w:szCs w:val="22"/>
          <w:lang w:val="en-US"/>
        </w:rPr>
        <w:t>Sozialwissenschaften</w:t>
      </w:r>
      <w:proofErr w:type="spellEnd"/>
      <w:r w:rsidRPr="00F347BC">
        <w:rPr>
          <w:rFonts w:ascii="Arial Narrow" w:hAnsi="Arial Narrow" w:cs="Arial Narrow"/>
          <w:sz w:val="22"/>
          <w:szCs w:val="22"/>
          <w:lang w:val="en-US"/>
        </w:rPr>
        <w:t>, 2006</w:t>
      </w:r>
      <w:r w:rsidR="00F649B6">
        <w:rPr>
          <w:rFonts w:ascii="Arial Narrow" w:hAnsi="Arial Narrow" w:cs="Arial Narrow"/>
          <w:sz w:val="22"/>
          <w:szCs w:val="22"/>
          <w:lang w:val="en-US"/>
        </w:rPr>
        <w:t>, 175-199</w:t>
      </w:r>
      <w:r w:rsidRPr="00F347BC">
        <w:rPr>
          <w:rFonts w:ascii="Arial Narrow" w:hAnsi="Arial Narrow" w:cs="Arial Narrow"/>
          <w:sz w:val="22"/>
          <w:szCs w:val="22"/>
          <w:lang w:val="en-US"/>
        </w:rPr>
        <w:t>.</w:t>
      </w:r>
    </w:p>
    <w:p w:rsidR="00C45F59" w:rsidRDefault="00C45F59" w:rsidP="00C45F59">
      <w:pPr>
        <w:jc w:val="both"/>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3</w:t>
      </w:r>
      <w:r>
        <w:rPr>
          <w:rFonts w:ascii="Arial Narrow" w:hAnsi="Arial Narrow" w:cs="Arial Narrow"/>
          <w:b/>
          <w:sz w:val="22"/>
          <w:szCs w:val="22"/>
          <w:lang w:val="en-US"/>
        </w:rPr>
        <w:tab/>
        <w:t>Constitutions, Rights, and European Integration</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European integration is for an important part about integration-through-law. The European project prominently involves a process of incremental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and an increasing role of rights. </w:t>
      </w:r>
      <w:proofErr w:type="gramStart"/>
      <w:r>
        <w:rPr>
          <w:rFonts w:ascii="Arial Narrow" w:hAnsi="Arial Narrow" w:cs="Arial Narrow"/>
          <w:sz w:val="22"/>
          <w:szCs w:val="22"/>
          <w:lang w:val="en-US"/>
        </w:rPr>
        <w:t>In particular in</w:t>
      </w:r>
      <w:proofErr w:type="gramEnd"/>
      <w:r>
        <w:rPr>
          <w:rFonts w:ascii="Arial Narrow" w:hAnsi="Arial Narrow" w:cs="Arial Narrow"/>
          <w:sz w:val="22"/>
          <w:szCs w:val="22"/>
          <w:lang w:val="en-US"/>
        </w:rPr>
        <w:t xml:space="preserve"> the project for a European Constitution, the fundamental politico-legal dimension came to the fore. It can however be argued that part of the failure of the European Draft Constitution is due to a lack of attention to important sociological dimensions, including questions regarding identity, legitimacy, and societal engagement with the law.</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proofErr w:type="spellStart"/>
      <w:r>
        <w:rPr>
          <w:rFonts w:ascii="Arial Narrow" w:hAnsi="Arial Narrow" w:cs="Arial Narrow"/>
          <w:sz w:val="22"/>
          <w:szCs w:val="22"/>
          <w:lang w:val="en-US"/>
        </w:rPr>
        <w:t>Přibáň</w:t>
      </w:r>
      <w:proofErr w:type="spellEnd"/>
      <w:r>
        <w:rPr>
          <w:rFonts w:ascii="Arial Narrow" w:hAnsi="Arial Narrow" w:cs="Arial Narrow"/>
          <w:sz w:val="22"/>
          <w:szCs w:val="22"/>
          <w:lang w:val="en-US"/>
        </w:rPr>
        <w:t xml:space="preserve">, </w:t>
      </w:r>
      <w:proofErr w:type="spellStart"/>
      <w:r>
        <w:rPr>
          <w:rFonts w:ascii="Arial Narrow" w:hAnsi="Arial Narrow" w:cs="Arial Narrow"/>
          <w:sz w:val="22"/>
          <w:szCs w:val="22"/>
          <w:lang w:val="en-US"/>
        </w:rPr>
        <w:t>Jiří</w:t>
      </w:r>
      <w:proofErr w:type="spellEnd"/>
      <w:r>
        <w:rPr>
          <w:rFonts w:ascii="Arial Narrow" w:hAnsi="Arial Narrow" w:cs="Arial Narrow"/>
          <w:sz w:val="22"/>
          <w:szCs w:val="22"/>
          <w:lang w:val="en-US"/>
        </w:rPr>
        <w:t xml:space="preserve">. "The </w:t>
      </w:r>
      <w:proofErr w:type="spellStart"/>
      <w:r>
        <w:rPr>
          <w:rFonts w:ascii="Arial Narrow" w:hAnsi="Arial Narrow" w:cs="Arial Narrow"/>
          <w:sz w:val="22"/>
          <w:szCs w:val="22"/>
          <w:lang w:val="en-US"/>
        </w:rPr>
        <w:t>juridification</w:t>
      </w:r>
      <w:proofErr w:type="spellEnd"/>
      <w:r>
        <w:rPr>
          <w:rFonts w:ascii="Arial Narrow" w:hAnsi="Arial Narrow" w:cs="Arial Narrow"/>
          <w:sz w:val="22"/>
          <w:szCs w:val="22"/>
          <w:lang w:val="en-US"/>
        </w:rPr>
        <w:t xml:space="preserve"> of European identity, its limitations and the search of EU democratic politics." </w:t>
      </w:r>
      <w:r>
        <w:rPr>
          <w:rFonts w:ascii="Arial Narrow" w:hAnsi="Arial Narrow" w:cs="Arial Narrow"/>
          <w:i/>
          <w:sz w:val="22"/>
          <w:szCs w:val="22"/>
          <w:lang w:val="en-US"/>
        </w:rPr>
        <w:t xml:space="preserve">Constellations </w:t>
      </w:r>
      <w:r>
        <w:rPr>
          <w:rFonts w:ascii="Arial Narrow" w:hAnsi="Arial Narrow" w:cs="Arial Narrow"/>
          <w:sz w:val="22"/>
          <w:szCs w:val="22"/>
          <w:lang w:val="en-US"/>
        </w:rPr>
        <w:t>16.1 (2009): 44-58.</w:t>
      </w:r>
    </w:p>
    <w:p w:rsidR="00C45F59" w:rsidRDefault="00C45F59" w:rsidP="00C45F59">
      <w:pPr>
        <w:jc w:val="both"/>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r w:rsidRPr="000675A8">
        <w:rPr>
          <w:rFonts w:ascii="Arial Narrow" w:hAnsi="Arial Narrow" w:cs="Arial Narrow"/>
          <w:sz w:val="22"/>
          <w:szCs w:val="22"/>
          <w:lang w:val="en-US"/>
        </w:rPr>
        <w:t>Dawson, Mark, and Floris Witte. "Constitutional Balance in the EU after the Euro</w:t>
      </w:r>
      <w:r w:rsidRPr="000675A8">
        <w:rPr>
          <w:rFonts w:ascii="Cambria Math" w:hAnsi="Cambria Math" w:cs="Cambria Math"/>
          <w:sz w:val="22"/>
          <w:szCs w:val="22"/>
          <w:lang w:val="en-US"/>
        </w:rPr>
        <w:t>‐</w:t>
      </w:r>
      <w:r w:rsidRPr="000675A8">
        <w:rPr>
          <w:rFonts w:ascii="Arial Narrow" w:hAnsi="Arial Narrow" w:cs="Arial Narrow"/>
          <w:sz w:val="22"/>
          <w:szCs w:val="22"/>
          <w:lang w:val="en-US"/>
        </w:rPr>
        <w:t>Crisis." The Modern Law Review 76.5 (2013): 817-844.</w:t>
      </w: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4</w:t>
      </w:r>
      <w:r>
        <w:rPr>
          <w:rFonts w:ascii="Arial Narrow" w:hAnsi="Arial Narrow" w:cs="Arial Narrow"/>
          <w:b/>
          <w:sz w:val="22"/>
          <w:szCs w:val="22"/>
          <w:lang w:val="en-US"/>
        </w:rPr>
        <w:tab/>
        <w:t>The Many Constitutions of Europe</w:t>
      </w:r>
    </w:p>
    <w:p w:rsidR="00C45F59" w:rsidRPr="006816E3" w:rsidRDefault="00C45F59" w:rsidP="00C45F59">
      <w:pPr>
        <w:jc w:val="both"/>
        <w:rPr>
          <w:rFonts w:ascii="Arial Narrow" w:hAnsi="Arial Narrow" w:cs="Arial Narrow"/>
          <w:sz w:val="22"/>
          <w:szCs w:val="22"/>
          <w:lang w:val="en-US"/>
        </w:rPr>
      </w:pPr>
      <w:r w:rsidRPr="006816E3">
        <w:rPr>
          <w:rFonts w:ascii="Arial Narrow" w:hAnsi="Arial Narrow" w:cs="Arial Narrow"/>
          <w:sz w:val="22"/>
          <w:szCs w:val="22"/>
          <w:lang w:val="en-US"/>
        </w:rPr>
        <w:t>The European integration project has developed its own constitutional dimensions, not least through a</w:t>
      </w:r>
      <w:r>
        <w:rPr>
          <w:rFonts w:ascii="Arial Narrow" w:hAnsi="Arial Narrow" w:cs="Arial Narrow"/>
          <w:sz w:val="22"/>
          <w:szCs w:val="22"/>
          <w:lang w:val="en-US"/>
        </w:rPr>
        <w:t xml:space="preserve"> gradual</w:t>
      </w:r>
      <w:r w:rsidRPr="006816E3">
        <w:rPr>
          <w:rFonts w:ascii="Arial Narrow" w:hAnsi="Arial Narrow" w:cs="Arial Narrow"/>
          <w:sz w:val="22"/>
          <w:szCs w:val="22"/>
          <w:lang w:val="en-US"/>
        </w:rPr>
        <w:t xml:space="preserve"> evolution of </w:t>
      </w:r>
      <w:r>
        <w:rPr>
          <w:rFonts w:ascii="Arial Narrow" w:hAnsi="Arial Narrow" w:cs="Arial Narrow"/>
          <w:sz w:val="22"/>
          <w:szCs w:val="22"/>
          <w:lang w:val="en-US"/>
        </w:rPr>
        <w:t>EU law and the interpretation by the European Court of Justice. From a sociological point of view, it can be argued that there are, however, other constitutional dimensions of the European integration project, which are not necessarily captured by the legal constitution.</w:t>
      </w: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rPr>
          <w:rFonts w:ascii="Arial Narrow" w:hAnsi="Arial Narrow" w:cs="Arial Narrow"/>
          <w:sz w:val="22"/>
          <w:szCs w:val="22"/>
          <w:lang w:val="en-US"/>
        </w:rPr>
      </w:pPr>
      <w:r w:rsidRPr="006816E3">
        <w:rPr>
          <w:rFonts w:ascii="Arial Narrow" w:hAnsi="Arial Narrow" w:cs="Arial Narrow"/>
          <w:sz w:val="22"/>
          <w:szCs w:val="22"/>
          <w:lang w:val="en-US"/>
        </w:rPr>
        <w:t>Thornhill, Chris. "The formation of a European constitution: an approach from historical-political sociology</w:t>
      </w:r>
      <w:r w:rsidRPr="00E8575E">
        <w:rPr>
          <w:rFonts w:ascii="Arial Narrow" w:hAnsi="Arial Narrow" w:cs="Arial Narrow"/>
          <w:i/>
          <w:sz w:val="22"/>
          <w:szCs w:val="22"/>
          <w:lang w:val="en-US"/>
        </w:rPr>
        <w:t>." International Journal of Law in Context</w:t>
      </w:r>
      <w:r w:rsidRPr="006816E3">
        <w:rPr>
          <w:rFonts w:ascii="Arial Narrow" w:hAnsi="Arial Narrow" w:cs="Arial Narrow"/>
          <w:sz w:val="22"/>
          <w:szCs w:val="22"/>
          <w:lang w:val="en-US"/>
        </w:rPr>
        <w:t xml:space="preserve"> 8.03 (2012): 354-393.</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roofErr w:type="spellStart"/>
      <w:r w:rsidRPr="006816E3">
        <w:rPr>
          <w:rFonts w:ascii="Arial Narrow" w:hAnsi="Arial Narrow" w:cs="Arial Narrow"/>
          <w:sz w:val="22"/>
          <w:szCs w:val="22"/>
          <w:lang w:val="en-US"/>
        </w:rPr>
        <w:t>Tuori</w:t>
      </w:r>
      <w:proofErr w:type="spellEnd"/>
      <w:r w:rsidRPr="006816E3">
        <w:rPr>
          <w:rFonts w:ascii="Arial Narrow" w:hAnsi="Arial Narrow" w:cs="Arial Narrow"/>
          <w:sz w:val="22"/>
          <w:szCs w:val="22"/>
          <w:lang w:val="en-US"/>
        </w:rPr>
        <w:t xml:space="preserve">, </w:t>
      </w:r>
      <w:proofErr w:type="spellStart"/>
      <w:r w:rsidRPr="006816E3">
        <w:rPr>
          <w:rFonts w:ascii="Arial Narrow" w:hAnsi="Arial Narrow" w:cs="Arial Narrow"/>
          <w:sz w:val="22"/>
          <w:szCs w:val="22"/>
          <w:lang w:val="en-US"/>
        </w:rPr>
        <w:t>Kaarlo</w:t>
      </w:r>
      <w:proofErr w:type="spellEnd"/>
      <w:r w:rsidRPr="006816E3">
        <w:rPr>
          <w:rFonts w:ascii="Arial Narrow" w:hAnsi="Arial Narrow" w:cs="Arial Narrow"/>
          <w:sz w:val="22"/>
          <w:szCs w:val="22"/>
          <w:lang w:val="en-US"/>
        </w:rPr>
        <w:t xml:space="preserve">, and </w:t>
      </w:r>
      <w:proofErr w:type="spellStart"/>
      <w:r w:rsidRPr="006816E3">
        <w:rPr>
          <w:rFonts w:ascii="Arial Narrow" w:hAnsi="Arial Narrow" w:cs="Arial Narrow"/>
          <w:sz w:val="22"/>
          <w:szCs w:val="22"/>
          <w:lang w:val="en-US"/>
        </w:rPr>
        <w:t>Suvi</w:t>
      </w:r>
      <w:proofErr w:type="spellEnd"/>
      <w:r w:rsidRPr="006816E3">
        <w:rPr>
          <w:rFonts w:ascii="Arial Narrow" w:hAnsi="Arial Narrow" w:cs="Arial Narrow"/>
          <w:sz w:val="22"/>
          <w:szCs w:val="22"/>
          <w:lang w:val="en-US"/>
        </w:rPr>
        <w:t xml:space="preserve"> </w:t>
      </w:r>
      <w:proofErr w:type="spellStart"/>
      <w:r w:rsidRPr="006816E3">
        <w:rPr>
          <w:rFonts w:ascii="Arial Narrow" w:hAnsi="Arial Narrow" w:cs="Arial Narrow"/>
          <w:sz w:val="22"/>
          <w:szCs w:val="22"/>
          <w:lang w:val="en-US"/>
        </w:rPr>
        <w:t>Sankari</w:t>
      </w:r>
      <w:proofErr w:type="spellEnd"/>
      <w:r w:rsidRPr="006816E3">
        <w:rPr>
          <w:rFonts w:ascii="Arial Narrow" w:hAnsi="Arial Narrow" w:cs="Arial Narrow"/>
          <w:sz w:val="22"/>
          <w:szCs w:val="22"/>
          <w:lang w:val="en-US"/>
        </w:rPr>
        <w:t xml:space="preserve"> (2010), </w:t>
      </w:r>
      <w:r w:rsidRPr="006816E3">
        <w:rPr>
          <w:rFonts w:ascii="Arial Narrow" w:hAnsi="Arial Narrow" w:cs="Arial Narrow"/>
          <w:i/>
          <w:sz w:val="22"/>
          <w:szCs w:val="22"/>
          <w:lang w:val="en-US"/>
        </w:rPr>
        <w:t>The many constitutions of Europe</w:t>
      </w:r>
      <w:r w:rsidRPr="006816E3">
        <w:rPr>
          <w:rFonts w:ascii="Arial Narrow" w:hAnsi="Arial Narrow" w:cs="Arial Narrow"/>
          <w:sz w:val="22"/>
          <w:szCs w:val="22"/>
          <w:lang w:val="en-US"/>
        </w:rPr>
        <w:t>. A</w:t>
      </w:r>
      <w:r>
        <w:rPr>
          <w:rFonts w:ascii="Arial Narrow" w:hAnsi="Arial Narrow" w:cs="Arial Narrow"/>
          <w:sz w:val="22"/>
          <w:szCs w:val="22"/>
          <w:lang w:val="en-US"/>
        </w:rPr>
        <w:t>shgate Publishing Limited, introduction</w:t>
      </w:r>
      <w:r w:rsidR="00F649B6">
        <w:rPr>
          <w:rFonts w:ascii="Arial Narrow" w:hAnsi="Arial Narrow" w:cs="Arial Narrow"/>
          <w:sz w:val="22"/>
          <w:szCs w:val="22"/>
          <w:lang w:val="en-US"/>
        </w:rPr>
        <w:t>, pp. 3-30</w:t>
      </w:r>
      <w:r>
        <w:rPr>
          <w:rFonts w:ascii="Arial Narrow" w:hAnsi="Arial Narrow" w:cs="Arial Narrow"/>
          <w:sz w:val="22"/>
          <w:szCs w:val="22"/>
          <w:lang w:val="en-US"/>
        </w:rPr>
        <w:t>.</w:t>
      </w: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5</w:t>
      </w:r>
      <w:r>
        <w:rPr>
          <w:rFonts w:ascii="Arial Narrow" w:hAnsi="Arial Narrow" w:cs="Arial Narrow"/>
          <w:b/>
          <w:sz w:val="22"/>
          <w:szCs w:val="22"/>
          <w:lang w:val="en-US"/>
        </w:rPr>
        <w:tab/>
        <w:t>Domestic Constitutional Reform in Europe</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Various constitutional orders in Europe are the object of constitutional reform and in some cases far-going change. Main questions to be discussed are: what are the purposes of these reforms, whether the relation between constitutionalism and modern society is changing, what does an increasingly pluralistic landscape of constitutionalism look like, and how do domestic constitutional orders relate to an increasingly constitutionalized transnational/European situation.</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rPr>
          <w:rFonts w:ascii="Arial Narrow" w:hAnsi="Arial Narrow" w:cs="Arial Narrow"/>
          <w:sz w:val="22"/>
          <w:szCs w:val="22"/>
          <w:lang w:val="en-US"/>
        </w:rPr>
      </w:pPr>
      <w:r>
        <w:rPr>
          <w:rFonts w:ascii="Arial Narrow" w:hAnsi="Arial Narrow" w:cs="Arial Narrow"/>
          <w:sz w:val="22"/>
          <w:szCs w:val="22"/>
          <w:lang w:val="en-US"/>
        </w:rPr>
        <w:t xml:space="preserve">Blokker, excerpts from writings of the </w:t>
      </w:r>
      <w:proofErr w:type="spellStart"/>
      <w:r>
        <w:rPr>
          <w:rFonts w:ascii="Arial Narrow" w:hAnsi="Arial Narrow" w:cs="Arial Narrow"/>
          <w:sz w:val="22"/>
          <w:szCs w:val="22"/>
          <w:lang w:val="en-US"/>
        </w:rPr>
        <w:t>CoPolis</w:t>
      </w:r>
      <w:proofErr w:type="spellEnd"/>
      <w:r>
        <w:rPr>
          <w:rFonts w:ascii="Arial Narrow" w:hAnsi="Arial Narrow" w:cs="Arial Narrow"/>
          <w:sz w:val="22"/>
          <w:szCs w:val="22"/>
          <w:lang w:val="en-US"/>
        </w:rPr>
        <w:t xml:space="preserve"> project (2012-15) (unpublished)/Constitutional acceleration</w:t>
      </w:r>
      <w:r w:rsidR="00F649B6">
        <w:rPr>
          <w:rFonts w:ascii="Arial Narrow" w:hAnsi="Arial Narrow" w:cs="Arial Narrow"/>
          <w:sz w:val="22"/>
          <w:szCs w:val="22"/>
          <w:lang w:val="en-US"/>
        </w:rPr>
        <w:t>, pp. 1-50</w:t>
      </w:r>
    </w:p>
    <w:p w:rsidR="00C45F59" w:rsidRDefault="00C45F59" w:rsidP="00C45F59">
      <w:pPr>
        <w:rPr>
          <w:rFonts w:ascii="Arial Narrow" w:hAnsi="Arial Narrow" w:cs="Arial Narrow"/>
          <w:b/>
          <w:sz w:val="22"/>
          <w:szCs w:val="22"/>
          <w:lang w:val="en-US"/>
        </w:rPr>
      </w:pPr>
    </w:p>
    <w:p w:rsidR="00897ADD" w:rsidRDefault="00897ADD" w:rsidP="00C45F59">
      <w:pPr>
        <w:rPr>
          <w:rFonts w:ascii="Arial Narrow" w:hAnsi="Arial Narrow" w:cs="Arial Narrow"/>
          <w:b/>
          <w:sz w:val="22"/>
          <w:szCs w:val="22"/>
          <w:lang w:val="en-US"/>
        </w:rPr>
      </w:pPr>
    </w:p>
    <w:p w:rsidR="00897ADD" w:rsidRDefault="00897ADD" w:rsidP="00C45F59">
      <w:pPr>
        <w:rPr>
          <w:rFonts w:ascii="Arial Narrow" w:hAnsi="Arial Narrow" w:cs="Arial Narrow"/>
          <w:b/>
          <w:sz w:val="22"/>
          <w:szCs w:val="22"/>
          <w:lang w:val="en-US"/>
        </w:rPr>
      </w:pPr>
    </w:p>
    <w:p w:rsidR="00C45F59" w:rsidRDefault="00C45F59" w:rsidP="00C45F59">
      <w:pPr>
        <w:rPr>
          <w:rFonts w:ascii="Arial Narrow" w:hAnsi="Arial Narrow" w:cs="Arial Narrow"/>
          <w:b/>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6</w:t>
      </w:r>
      <w:r>
        <w:rPr>
          <w:rFonts w:ascii="Arial Narrow" w:hAnsi="Arial Narrow" w:cs="Arial Narrow"/>
          <w:b/>
          <w:sz w:val="22"/>
          <w:szCs w:val="22"/>
          <w:lang w:val="en-US"/>
        </w:rPr>
        <w:tab/>
        <w:t>Constitutions and Civic Participation</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An increasingly important dimension of relations between society and constitutional politics in Europe regards civic participation in constitutional amendment and drafting. A trend towards participatory constitutionalism can be identified, which blurs the distinction between law and society in important ways. Such a trend can also be discerned on the EU level.</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2016, Paul Blokker, </w:t>
      </w:r>
      <w:r w:rsidRPr="005C7E85">
        <w:rPr>
          <w:rFonts w:ascii="Arial Narrow" w:hAnsi="Arial Narrow" w:cs="Arial Narrow"/>
          <w:sz w:val="22"/>
          <w:szCs w:val="22"/>
          <w:lang w:val="en-US"/>
        </w:rPr>
        <w:t xml:space="preserve">‘Constitutional reform in Europe and recourse to the people’, in: Xenophon </w:t>
      </w:r>
      <w:proofErr w:type="spellStart"/>
      <w:r w:rsidRPr="005C7E85">
        <w:rPr>
          <w:rFonts w:ascii="Arial Narrow" w:hAnsi="Arial Narrow" w:cs="Arial Narrow"/>
          <w:sz w:val="22"/>
          <w:szCs w:val="22"/>
          <w:lang w:val="en-US"/>
        </w:rPr>
        <w:t>Contiades</w:t>
      </w:r>
      <w:proofErr w:type="spellEnd"/>
      <w:r w:rsidR="001571C3">
        <w:rPr>
          <w:rFonts w:ascii="Arial Narrow" w:hAnsi="Arial Narrow" w:cs="Arial Narrow"/>
          <w:sz w:val="22"/>
          <w:szCs w:val="22"/>
          <w:lang w:val="en-US"/>
        </w:rPr>
        <w:t xml:space="preserve"> and </w:t>
      </w:r>
      <w:proofErr w:type="spellStart"/>
      <w:r w:rsidR="001571C3">
        <w:rPr>
          <w:rFonts w:ascii="Arial Narrow" w:hAnsi="Arial Narrow" w:cs="Arial Narrow"/>
          <w:sz w:val="22"/>
          <w:szCs w:val="22"/>
          <w:lang w:val="en-US"/>
        </w:rPr>
        <w:t>Alkmenia</w:t>
      </w:r>
      <w:proofErr w:type="spellEnd"/>
      <w:r w:rsidR="001571C3">
        <w:rPr>
          <w:rFonts w:ascii="Arial Narrow" w:hAnsi="Arial Narrow" w:cs="Arial Narrow"/>
          <w:sz w:val="22"/>
          <w:szCs w:val="22"/>
          <w:lang w:val="en-US"/>
        </w:rPr>
        <w:t xml:space="preserve"> </w:t>
      </w:r>
      <w:proofErr w:type="spellStart"/>
      <w:r w:rsidR="001571C3">
        <w:rPr>
          <w:rFonts w:ascii="Arial Narrow" w:hAnsi="Arial Narrow" w:cs="Arial Narrow"/>
          <w:sz w:val="22"/>
          <w:szCs w:val="22"/>
          <w:lang w:val="en-US"/>
        </w:rPr>
        <w:t>Fotiadou</w:t>
      </w:r>
      <w:proofErr w:type="spellEnd"/>
      <w:r w:rsidRPr="005C7E85">
        <w:rPr>
          <w:rFonts w:ascii="Arial Narrow" w:hAnsi="Arial Narrow" w:cs="Arial Narrow"/>
          <w:sz w:val="22"/>
          <w:szCs w:val="22"/>
          <w:lang w:val="en-US"/>
        </w:rPr>
        <w:t xml:space="preserve"> (</w:t>
      </w:r>
      <w:proofErr w:type="spellStart"/>
      <w:r w:rsidRPr="005C7E85">
        <w:rPr>
          <w:rFonts w:ascii="Arial Narrow" w:hAnsi="Arial Narrow" w:cs="Arial Narrow"/>
          <w:sz w:val="22"/>
          <w:szCs w:val="22"/>
          <w:lang w:val="en-US"/>
        </w:rPr>
        <w:t>eds</w:t>
      </w:r>
      <w:proofErr w:type="spellEnd"/>
      <w:r w:rsidRPr="005C7E85">
        <w:rPr>
          <w:rFonts w:ascii="Arial Narrow" w:hAnsi="Arial Narrow" w:cs="Arial Narrow"/>
          <w:sz w:val="22"/>
          <w:szCs w:val="22"/>
          <w:lang w:val="en-US"/>
        </w:rPr>
        <w:t xml:space="preserve">), </w:t>
      </w:r>
      <w:r w:rsidRPr="005C7E85">
        <w:rPr>
          <w:rFonts w:ascii="Arial Narrow" w:hAnsi="Arial Narrow" w:cs="Arial Narrow"/>
          <w:i/>
          <w:sz w:val="22"/>
          <w:szCs w:val="22"/>
          <w:lang w:val="en-US"/>
        </w:rPr>
        <w:t>Participatory Constitutional Change: The people as amenders of the Constitution</w:t>
      </w:r>
      <w:r w:rsidRPr="005C7E85">
        <w:rPr>
          <w:rFonts w:ascii="Arial Narrow" w:hAnsi="Arial Narrow" w:cs="Arial Narrow"/>
          <w:sz w:val="22"/>
          <w:szCs w:val="22"/>
          <w:lang w:val="en-US"/>
        </w:rPr>
        <w:t xml:space="preserve">, </w:t>
      </w:r>
      <w:r>
        <w:rPr>
          <w:rFonts w:ascii="Arial Narrow" w:hAnsi="Arial Narrow" w:cs="Arial Narrow"/>
          <w:sz w:val="22"/>
          <w:szCs w:val="22"/>
          <w:lang w:val="en-US"/>
        </w:rPr>
        <w:t>Routledge</w:t>
      </w:r>
      <w:r w:rsidR="00F649B6">
        <w:rPr>
          <w:rFonts w:ascii="Arial Narrow" w:hAnsi="Arial Narrow" w:cs="Arial Narrow"/>
          <w:sz w:val="22"/>
          <w:szCs w:val="22"/>
          <w:lang w:val="en-US"/>
        </w:rPr>
        <w:t>, pp. 31-51</w:t>
      </w:r>
      <w:r>
        <w:rPr>
          <w:rFonts w:ascii="Arial Narrow" w:hAnsi="Arial Narrow" w:cs="Arial Narrow"/>
          <w:sz w:val="22"/>
          <w:szCs w:val="22"/>
          <w:lang w:val="en-US"/>
        </w:rPr>
        <w:t>.</w:t>
      </w:r>
    </w:p>
    <w:p w:rsidR="00C45F59" w:rsidRDefault="00C45F59" w:rsidP="00C45F59">
      <w:pPr>
        <w:jc w:val="both"/>
        <w:rPr>
          <w:rFonts w:ascii="Arial Narrow" w:hAnsi="Arial Narrow" w:cs="Arial Narrow"/>
          <w:sz w:val="22"/>
          <w:szCs w:val="22"/>
          <w:lang w:val="en-US"/>
        </w:rPr>
      </w:pPr>
    </w:p>
    <w:p w:rsidR="00C45F59" w:rsidRPr="00D461F1" w:rsidRDefault="00C45F59" w:rsidP="00C45F59">
      <w:pPr>
        <w:jc w:val="both"/>
        <w:rPr>
          <w:rFonts w:ascii="Arial Narrow" w:hAnsi="Arial Narrow" w:cs="Arial Narrow"/>
          <w:sz w:val="22"/>
          <w:szCs w:val="22"/>
          <w:lang w:val="en-US"/>
        </w:rPr>
      </w:pPr>
      <w:r w:rsidRPr="00D461F1">
        <w:rPr>
          <w:rFonts w:ascii="Arial Narrow" w:hAnsi="Arial Narrow" w:cs="Arial Narrow"/>
          <w:sz w:val="22"/>
          <w:szCs w:val="22"/>
          <w:lang w:val="en-US"/>
        </w:rPr>
        <w:t>Victor Cuesta</w:t>
      </w:r>
      <w:r>
        <w:rPr>
          <w:rFonts w:ascii="Arial Narrow" w:hAnsi="Arial Narrow" w:cs="Arial Narrow"/>
          <w:sz w:val="22"/>
          <w:szCs w:val="22"/>
          <w:lang w:val="en-US"/>
        </w:rPr>
        <w:t xml:space="preserve"> (2007), ‘</w:t>
      </w:r>
      <w:r w:rsidRPr="00D461F1">
        <w:rPr>
          <w:rFonts w:ascii="Arial Narrow" w:hAnsi="Arial Narrow" w:cs="Arial Narrow"/>
          <w:sz w:val="22"/>
          <w:szCs w:val="22"/>
          <w:lang w:val="en-US"/>
        </w:rPr>
        <w:t>Prospects for Participatory Democracy in the Supranational Constitu</w:t>
      </w:r>
      <w:r>
        <w:rPr>
          <w:rFonts w:ascii="Arial Narrow" w:hAnsi="Arial Narrow" w:cs="Arial Narrow"/>
          <w:sz w:val="22"/>
          <w:szCs w:val="22"/>
          <w:lang w:val="en-US"/>
        </w:rPr>
        <w:t>tionalism of the European Union’</w:t>
      </w:r>
      <w:r w:rsidR="00F649B6">
        <w:rPr>
          <w:rFonts w:ascii="Arial Narrow" w:hAnsi="Arial Narrow" w:cs="Arial Narrow"/>
          <w:sz w:val="22"/>
          <w:szCs w:val="22"/>
          <w:lang w:val="en-US"/>
        </w:rPr>
        <w:t>, 199-207</w:t>
      </w:r>
      <w:r>
        <w:rPr>
          <w:rFonts w:ascii="Arial Narrow" w:hAnsi="Arial Narrow" w:cs="Arial Narrow"/>
          <w:sz w:val="22"/>
          <w:szCs w:val="22"/>
          <w:lang w:val="en-US"/>
        </w:rPr>
        <w:t>.</w:t>
      </w:r>
    </w:p>
    <w:p w:rsidR="00C45F59" w:rsidRDefault="00C45F59" w:rsidP="00C45F59">
      <w:pPr>
        <w:jc w:val="both"/>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7</w:t>
      </w:r>
      <w:r>
        <w:rPr>
          <w:rFonts w:ascii="Arial Narrow" w:hAnsi="Arial Narrow" w:cs="Arial Narrow"/>
          <w:b/>
          <w:sz w:val="22"/>
          <w:szCs w:val="22"/>
          <w:lang w:val="en-US"/>
        </w:rPr>
        <w:tab/>
        <w:t>Constitutions and Illiberal Democracy in New EU Member States</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The new democracies in Central and Eastern Europe have embarked on the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of democratic regimes since at least the early 1990s. A specific set of templates can be said to be important in this process of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which has arguably involved the institutionalization of so-called new constitutionalism, which portrays constitutions as relatively distinct from situated societies.</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Blokker, Paul, 2016, chapter 'EU Democratic Oversight and Domestic Deviation from the Rule of Law: Sociological Reflections', in: C. </w:t>
      </w:r>
      <w:proofErr w:type="spellStart"/>
      <w:r>
        <w:rPr>
          <w:rFonts w:ascii="Arial Narrow" w:hAnsi="Arial Narrow" w:cs="Arial Narrow"/>
          <w:sz w:val="22"/>
          <w:szCs w:val="22"/>
          <w:lang w:val="en-US"/>
        </w:rPr>
        <w:t>Closa</w:t>
      </w:r>
      <w:proofErr w:type="spellEnd"/>
      <w:r>
        <w:rPr>
          <w:rFonts w:ascii="Arial Narrow" w:hAnsi="Arial Narrow" w:cs="Arial Narrow"/>
          <w:sz w:val="22"/>
          <w:szCs w:val="22"/>
          <w:lang w:val="en-US"/>
        </w:rPr>
        <w:t xml:space="preserve"> and D. </w:t>
      </w:r>
      <w:proofErr w:type="spellStart"/>
      <w:r>
        <w:rPr>
          <w:rFonts w:ascii="Arial Narrow" w:hAnsi="Arial Narrow" w:cs="Arial Narrow"/>
          <w:sz w:val="22"/>
          <w:szCs w:val="22"/>
          <w:lang w:val="en-US"/>
        </w:rPr>
        <w:t>Kochenov</w:t>
      </w:r>
      <w:proofErr w:type="spellEnd"/>
      <w:r>
        <w:rPr>
          <w:rFonts w:ascii="Arial Narrow" w:hAnsi="Arial Narrow" w:cs="Arial Narrow"/>
          <w:sz w:val="22"/>
          <w:szCs w:val="22"/>
          <w:lang w:val="en-US"/>
        </w:rPr>
        <w:t xml:space="preserve"> (</w:t>
      </w:r>
      <w:proofErr w:type="spellStart"/>
      <w:r>
        <w:rPr>
          <w:rFonts w:ascii="Arial Narrow" w:hAnsi="Arial Narrow" w:cs="Arial Narrow"/>
          <w:sz w:val="22"/>
          <w:szCs w:val="22"/>
          <w:lang w:val="en-US"/>
        </w:rPr>
        <w:t>eds</w:t>
      </w:r>
      <w:proofErr w:type="spellEnd"/>
      <w:r>
        <w:rPr>
          <w:rFonts w:ascii="Arial Narrow" w:hAnsi="Arial Narrow" w:cs="Arial Narrow"/>
          <w:sz w:val="22"/>
          <w:szCs w:val="22"/>
          <w:lang w:val="en-US"/>
        </w:rPr>
        <w:t xml:space="preserve">), </w:t>
      </w:r>
      <w:r>
        <w:rPr>
          <w:rFonts w:ascii="Arial Narrow" w:hAnsi="Arial Narrow" w:cs="Arial Narrow"/>
          <w:i/>
          <w:sz w:val="22"/>
          <w:szCs w:val="22"/>
          <w:lang w:val="en-US"/>
        </w:rPr>
        <w:t>Reinforcing the Rule of Law Oversight in the European Union</w:t>
      </w:r>
      <w:r>
        <w:rPr>
          <w:rFonts w:ascii="Arial Narrow" w:hAnsi="Arial Narrow" w:cs="Arial Narrow"/>
          <w:sz w:val="22"/>
          <w:szCs w:val="22"/>
          <w:lang w:val="en-US"/>
        </w:rPr>
        <w:t>, Cambridge University Press</w:t>
      </w:r>
      <w:r w:rsidR="00F649B6">
        <w:rPr>
          <w:rFonts w:ascii="Arial Narrow" w:hAnsi="Arial Narrow" w:cs="Arial Narrow"/>
          <w:sz w:val="22"/>
          <w:szCs w:val="22"/>
          <w:lang w:val="en-US"/>
        </w:rPr>
        <w:t>, 249-270</w:t>
      </w:r>
      <w:r>
        <w:rPr>
          <w:rFonts w:ascii="Arial Narrow" w:hAnsi="Arial Narrow" w:cs="Arial Narrow"/>
          <w:sz w:val="22"/>
          <w:szCs w:val="22"/>
          <w:lang w:val="en-US"/>
        </w:rPr>
        <w:t>.</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8</w:t>
      </w:r>
      <w:r>
        <w:rPr>
          <w:rFonts w:ascii="Arial Narrow" w:hAnsi="Arial Narrow" w:cs="Arial Narrow"/>
          <w:b/>
          <w:sz w:val="22"/>
          <w:szCs w:val="22"/>
          <w:lang w:val="en-US"/>
        </w:rPr>
        <w:tab/>
        <w:t>Grassroots Constitutionalism</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Constitutions are in legal and political-scientific approaches largely understood as top-down orders, grounded in universally valid principles and rights. An alternative, society-oriented view argues that constitutions are importantly expressions of local mores, traditions, and historical experiences. An additional perspective emphasizes the creation of constitutional norms and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from the bottom-up.</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rPr>
          <w:rFonts w:ascii="Arial Narrow" w:hAnsi="Arial Narrow" w:cs="Arial Narrow"/>
          <w:sz w:val="22"/>
          <w:szCs w:val="22"/>
          <w:lang w:val="en-US"/>
        </w:rPr>
      </w:pPr>
      <w:r w:rsidRPr="005A6C99">
        <w:rPr>
          <w:rFonts w:ascii="Arial Narrow" w:hAnsi="Arial Narrow" w:cs="Arial Narrow"/>
          <w:sz w:val="22"/>
          <w:szCs w:val="22"/>
          <w:lang w:val="en-US"/>
        </w:rPr>
        <w:t xml:space="preserve">Tully, James. "A New Kind of </w:t>
      </w:r>
      <w:proofErr w:type="gramStart"/>
      <w:r w:rsidRPr="005A6C99">
        <w:rPr>
          <w:rFonts w:ascii="Arial Narrow" w:hAnsi="Arial Narrow" w:cs="Arial Narrow"/>
          <w:sz w:val="22"/>
          <w:szCs w:val="22"/>
          <w:lang w:val="en-US"/>
        </w:rPr>
        <w:t>Europe?:</w:t>
      </w:r>
      <w:proofErr w:type="gramEnd"/>
      <w:r w:rsidRPr="005A6C99">
        <w:rPr>
          <w:rFonts w:ascii="Arial Narrow" w:hAnsi="Arial Narrow" w:cs="Arial Narrow"/>
          <w:sz w:val="22"/>
          <w:szCs w:val="22"/>
          <w:lang w:val="en-US"/>
        </w:rPr>
        <w:t xml:space="preserve"> Democratic Integration in the European Union." </w:t>
      </w:r>
      <w:r w:rsidRPr="005A6C99">
        <w:rPr>
          <w:rFonts w:ascii="Arial Narrow" w:hAnsi="Arial Narrow" w:cs="Arial Narrow"/>
          <w:i/>
          <w:sz w:val="22"/>
          <w:szCs w:val="22"/>
          <w:lang w:val="en-US"/>
        </w:rPr>
        <w:t>Critical Review of International Social and Political Philosophy</w:t>
      </w:r>
      <w:r w:rsidRPr="005A6C99">
        <w:rPr>
          <w:rFonts w:ascii="Arial Narrow" w:hAnsi="Arial Narrow" w:cs="Arial Narrow"/>
          <w:sz w:val="22"/>
          <w:szCs w:val="22"/>
          <w:lang w:val="en-US"/>
        </w:rPr>
        <w:t xml:space="preserve"> 10.1 (2007): 71-86.</w:t>
      </w:r>
    </w:p>
    <w:p w:rsidR="00C45F59" w:rsidRDefault="00C45F59" w:rsidP="00C45F59">
      <w:pPr>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r w:rsidRPr="00444FD8">
        <w:rPr>
          <w:rFonts w:ascii="Arial Narrow" w:hAnsi="Arial Narrow" w:cs="Arial Narrow"/>
          <w:sz w:val="22"/>
          <w:szCs w:val="22"/>
          <w:lang w:val="en-US"/>
        </w:rPr>
        <w:t>Bani, Marco. "Crowds</w:t>
      </w:r>
      <w:r>
        <w:rPr>
          <w:rFonts w:ascii="Arial Narrow" w:hAnsi="Arial Narrow" w:cs="Arial Narrow"/>
          <w:sz w:val="22"/>
          <w:szCs w:val="22"/>
          <w:lang w:val="en-US"/>
        </w:rPr>
        <w:t>ourcing democracy: The case of I</w:t>
      </w:r>
      <w:r w:rsidRPr="00444FD8">
        <w:rPr>
          <w:rFonts w:ascii="Arial Narrow" w:hAnsi="Arial Narrow" w:cs="Arial Narrow"/>
          <w:sz w:val="22"/>
          <w:szCs w:val="22"/>
          <w:lang w:val="en-US"/>
        </w:rPr>
        <w:t xml:space="preserve">celandic social constitutionalism." Politics and Policy in the </w:t>
      </w:r>
      <w:r>
        <w:rPr>
          <w:rFonts w:ascii="Arial Narrow" w:hAnsi="Arial Narrow" w:cs="Arial Narrow"/>
          <w:sz w:val="22"/>
          <w:szCs w:val="22"/>
          <w:lang w:val="en-US"/>
        </w:rPr>
        <w:t>I</w:t>
      </w:r>
      <w:r w:rsidRPr="00444FD8">
        <w:rPr>
          <w:rFonts w:ascii="Arial Narrow" w:hAnsi="Arial Narrow" w:cs="Arial Narrow"/>
          <w:sz w:val="22"/>
          <w:szCs w:val="22"/>
          <w:lang w:val="en-US"/>
        </w:rPr>
        <w:t>nformation Age, Springer (2012)</w:t>
      </w:r>
      <w:r w:rsidR="00F649B6">
        <w:rPr>
          <w:rFonts w:ascii="Arial Narrow" w:hAnsi="Arial Narrow" w:cs="Arial Narrow"/>
          <w:sz w:val="22"/>
          <w:szCs w:val="22"/>
          <w:lang w:val="en-US"/>
        </w:rPr>
        <w:t>, 1-19</w:t>
      </w:r>
      <w:r w:rsidRPr="00444FD8">
        <w:rPr>
          <w:rFonts w:ascii="Arial Narrow" w:hAnsi="Arial Narrow" w:cs="Arial Narrow"/>
          <w:sz w:val="22"/>
          <w:szCs w:val="22"/>
          <w:lang w:val="en-US"/>
        </w:rPr>
        <w:t>.</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sidRPr="002E00F4">
        <w:rPr>
          <w:rFonts w:ascii="Arial Narrow" w:hAnsi="Arial Narrow" w:cs="Arial Narrow"/>
          <w:b/>
          <w:sz w:val="22"/>
          <w:szCs w:val="22"/>
          <w:lang w:val="en-US"/>
        </w:rPr>
        <w:t>Week 9</w:t>
      </w:r>
      <w:r w:rsidRPr="002E00F4">
        <w:rPr>
          <w:rFonts w:ascii="Arial Narrow" w:hAnsi="Arial Narrow" w:cs="Arial Narrow"/>
          <w:b/>
          <w:sz w:val="22"/>
          <w:szCs w:val="22"/>
          <w:lang w:val="en-US"/>
        </w:rPr>
        <w:tab/>
        <w:t>The</w:t>
      </w:r>
      <w:r>
        <w:rPr>
          <w:rFonts w:ascii="Arial Narrow" w:hAnsi="Arial Narrow" w:cs="Arial Narrow"/>
          <w:b/>
          <w:sz w:val="22"/>
          <w:szCs w:val="22"/>
          <w:lang w:val="en-US"/>
        </w:rPr>
        <w:t xml:space="preserve"> Future of a Constitution for Europe</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The political constitutional project for the EU of the early 2000s failed in the French and Dutch ratification referenda in 2005. The objective of an official Constitution for the European Union seems to be further away than ever. Key questions are what are the obstacles to a formal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of the EU and why would it be necessary? </w:t>
      </w:r>
    </w:p>
    <w:p w:rsidR="00C45F59" w:rsidRDefault="00C45F59"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Ackerman, Bruce (2015), </w:t>
      </w:r>
      <w:r w:rsidRPr="00D461F1">
        <w:rPr>
          <w:rFonts w:ascii="Arial Narrow" w:hAnsi="Arial Narrow" w:cs="Arial Narrow"/>
          <w:sz w:val="22"/>
          <w:szCs w:val="22"/>
          <w:lang w:val="en-US"/>
        </w:rPr>
        <w:t>Three Paths to Constitutionalism – and the Crisis of the European Union</w:t>
      </w:r>
      <w:r>
        <w:rPr>
          <w:rFonts w:ascii="Arial Narrow" w:hAnsi="Arial Narrow" w:cs="Arial Narrow"/>
          <w:sz w:val="22"/>
          <w:szCs w:val="22"/>
          <w:lang w:val="en-US"/>
        </w:rPr>
        <w:t>,</w:t>
      </w:r>
      <w:r w:rsidRPr="00D461F1">
        <w:rPr>
          <w:rFonts w:ascii="Arial Narrow" w:hAnsi="Arial Narrow" w:cs="Arial Narrow"/>
          <w:sz w:val="22"/>
          <w:szCs w:val="22"/>
          <w:lang w:val="en-US"/>
        </w:rPr>
        <w:t xml:space="preserve"> </w:t>
      </w:r>
      <w:r w:rsidRPr="0029457B">
        <w:rPr>
          <w:rFonts w:ascii="Arial Narrow" w:hAnsi="Arial Narrow" w:cs="Arial Narrow"/>
          <w:i/>
          <w:sz w:val="22"/>
          <w:szCs w:val="22"/>
          <w:lang w:val="en-US"/>
        </w:rPr>
        <w:t>British Journal of Political Science</w:t>
      </w:r>
      <w:r w:rsidRPr="00D461F1">
        <w:rPr>
          <w:rFonts w:ascii="Arial Narrow" w:hAnsi="Arial Narrow" w:cs="Arial Narrow"/>
          <w:sz w:val="22"/>
          <w:szCs w:val="22"/>
          <w:lang w:val="en-US"/>
        </w:rPr>
        <w:t xml:space="preserve"> / Volume 45 / Issue 04 / October 2015, pp</w:t>
      </w:r>
      <w:r>
        <w:rPr>
          <w:rFonts w:ascii="Arial Narrow" w:hAnsi="Arial Narrow" w:cs="Arial Narrow"/>
          <w:sz w:val="22"/>
          <w:szCs w:val="22"/>
          <w:lang w:val="en-US"/>
        </w:rPr>
        <w:t>.</w:t>
      </w:r>
      <w:r w:rsidRPr="00D461F1">
        <w:rPr>
          <w:rFonts w:ascii="Arial Narrow" w:hAnsi="Arial Narrow" w:cs="Arial Narrow"/>
          <w:sz w:val="22"/>
          <w:szCs w:val="22"/>
          <w:lang w:val="en-US"/>
        </w:rPr>
        <w:t xml:space="preserve"> 705-714</w:t>
      </w:r>
      <w:r>
        <w:rPr>
          <w:rFonts w:ascii="Arial Narrow" w:hAnsi="Arial Narrow" w:cs="Arial Narrow"/>
          <w:sz w:val="22"/>
          <w:szCs w:val="22"/>
          <w:lang w:val="en-US"/>
        </w:rPr>
        <w:t>.</w:t>
      </w:r>
    </w:p>
    <w:p w:rsidR="00C45F59" w:rsidRDefault="00C45F59" w:rsidP="00C45F59">
      <w:pPr>
        <w:jc w:val="both"/>
        <w:rPr>
          <w:rFonts w:ascii="Arial Narrow" w:hAnsi="Arial Narrow" w:cs="Arial Narrow"/>
          <w:sz w:val="22"/>
          <w:szCs w:val="22"/>
          <w:lang w:val="en-US"/>
        </w:rPr>
      </w:pPr>
    </w:p>
    <w:p w:rsidR="00C45F59" w:rsidRDefault="00C45F59" w:rsidP="00C45F59">
      <w:pPr>
        <w:jc w:val="both"/>
        <w:rPr>
          <w:rFonts w:ascii="Arial Narrow" w:hAnsi="Arial Narrow" w:cs="Arial Narrow"/>
          <w:sz w:val="22"/>
          <w:szCs w:val="22"/>
          <w:lang w:val="en-US"/>
        </w:rPr>
      </w:pPr>
      <w:proofErr w:type="spellStart"/>
      <w:r w:rsidRPr="00781DA4">
        <w:rPr>
          <w:rFonts w:ascii="Arial Narrow" w:hAnsi="Arial Narrow" w:cs="Arial Narrow"/>
          <w:sz w:val="22"/>
          <w:szCs w:val="22"/>
          <w:lang w:val="en-US"/>
        </w:rPr>
        <w:t>Startin</w:t>
      </w:r>
      <w:proofErr w:type="spellEnd"/>
      <w:r w:rsidRPr="00781DA4">
        <w:rPr>
          <w:rFonts w:ascii="Arial Narrow" w:hAnsi="Arial Narrow" w:cs="Arial Narrow"/>
          <w:sz w:val="22"/>
          <w:szCs w:val="22"/>
          <w:lang w:val="en-US"/>
        </w:rPr>
        <w:t xml:space="preserve">, Nick, and André </w:t>
      </w:r>
      <w:proofErr w:type="spellStart"/>
      <w:r w:rsidRPr="00781DA4">
        <w:rPr>
          <w:rFonts w:ascii="Arial Narrow" w:hAnsi="Arial Narrow" w:cs="Arial Narrow"/>
          <w:sz w:val="22"/>
          <w:szCs w:val="22"/>
          <w:lang w:val="en-US"/>
        </w:rPr>
        <w:t>Krouwel</w:t>
      </w:r>
      <w:proofErr w:type="spellEnd"/>
      <w:r w:rsidRPr="00781DA4">
        <w:rPr>
          <w:rFonts w:ascii="Arial Narrow" w:hAnsi="Arial Narrow" w:cs="Arial Narrow"/>
          <w:sz w:val="22"/>
          <w:szCs w:val="22"/>
          <w:lang w:val="en-US"/>
        </w:rPr>
        <w:t>. "Euroscepticism re</w:t>
      </w:r>
      <w:r w:rsidRPr="00781DA4">
        <w:rPr>
          <w:rFonts w:ascii="Cambria Math" w:hAnsi="Cambria Math" w:cs="Cambria Math"/>
          <w:sz w:val="22"/>
          <w:szCs w:val="22"/>
          <w:lang w:val="en-US"/>
        </w:rPr>
        <w:t>‐</w:t>
      </w:r>
      <w:r w:rsidRPr="00781DA4">
        <w:rPr>
          <w:rFonts w:ascii="Arial Narrow" w:hAnsi="Arial Narrow" w:cs="Arial Narrow"/>
          <w:sz w:val="22"/>
          <w:szCs w:val="22"/>
          <w:lang w:val="en-US"/>
        </w:rPr>
        <w:t xml:space="preserve">galvanized: The Consequences of the 2005 French and Dutch Rejections of the EU Constitution." </w:t>
      </w:r>
      <w:r w:rsidRPr="00781DA4">
        <w:rPr>
          <w:rFonts w:ascii="Arial Narrow" w:hAnsi="Arial Narrow" w:cs="Arial Narrow"/>
          <w:i/>
          <w:sz w:val="22"/>
          <w:szCs w:val="22"/>
          <w:lang w:val="en-US"/>
        </w:rPr>
        <w:t>JCMS: Journal of Common Market Studies</w:t>
      </w:r>
      <w:r w:rsidRPr="00781DA4">
        <w:rPr>
          <w:rFonts w:ascii="Arial Narrow" w:hAnsi="Arial Narrow" w:cs="Arial Narrow"/>
          <w:sz w:val="22"/>
          <w:szCs w:val="22"/>
          <w:lang w:val="en-US"/>
        </w:rPr>
        <w:t xml:space="preserve"> 51.1 (2013): 65-84.</w:t>
      </w:r>
    </w:p>
    <w:p w:rsidR="00C45F59" w:rsidRDefault="00C45F59" w:rsidP="00C45F59">
      <w:pPr>
        <w:rPr>
          <w:rFonts w:ascii="Arial Narrow" w:hAnsi="Arial Narrow" w:cs="Arial Narrow"/>
          <w:sz w:val="22"/>
          <w:szCs w:val="22"/>
          <w:lang w:val="en-US"/>
        </w:rPr>
      </w:pPr>
    </w:p>
    <w:p w:rsidR="00897ADD" w:rsidRDefault="00897ADD" w:rsidP="00C45F59">
      <w:pPr>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b/>
          <w:sz w:val="22"/>
          <w:szCs w:val="22"/>
          <w:lang w:val="en-US"/>
        </w:rPr>
        <w:t>Week 10 Global constitutionalism</w:t>
      </w:r>
    </w:p>
    <w:p w:rsidR="00C45F59" w:rsidRDefault="00C45F59" w:rsidP="00C45F59">
      <w:pPr>
        <w:jc w:val="both"/>
        <w:rPr>
          <w:rFonts w:ascii="Arial Narrow" w:hAnsi="Arial Narrow" w:cs="Arial Narrow"/>
          <w:sz w:val="22"/>
          <w:szCs w:val="22"/>
          <w:lang w:val="en-US"/>
        </w:rPr>
      </w:pPr>
      <w:r>
        <w:rPr>
          <w:rFonts w:ascii="Arial Narrow" w:hAnsi="Arial Narrow" w:cs="Arial Narrow"/>
          <w:sz w:val="22"/>
          <w:szCs w:val="22"/>
          <w:lang w:val="en-US"/>
        </w:rPr>
        <w:t xml:space="preserve">Global constitutionalism can be understood as involving the </w:t>
      </w:r>
      <w:proofErr w:type="spellStart"/>
      <w:r>
        <w:rPr>
          <w:rFonts w:ascii="Arial Narrow" w:hAnsi="Arial Narrow" w:cs="Arial Narrow"/>
          <w:sz w:val="22"/>
          <w:szCs w:val="22"/>
          <w:lang w:val="en-US"/>
        </w:rPr>
        <w:t>constitutionalization</w:t>
      </w:r>
      <w:proofErr w:type="spellEnd"/>
      <w:r>
        <w:rPr>
          <w:rFonts w:ascii="Arial Narrow" w:hAnsi="Arial Narrow" w:cs="Arial Narrow"/>
          <w:sz w:val="22"/>
          <w:szCs w:val="22"/>
          <w:lang w:val="en-US"/>
        </w:rPr>
        <w:t xml:space="preserve"> of international regimes and institutions (e.g. the United Nations), but also as the diffusion and increasing interconnectedness of domestic constitutional orders. A different way of understanding post-national phenomena is through the lens of constitutional pluralism. Global constitutional tendencies strongly differ from the national experiences in the conspicuous absence of a global society.</w:t>
      </w:r>
    </w:p>
    <w:p w:rsidR="00C45F59" w:rsidRDefault="00C45F59" w:rsidP="00C45F59">
      <w:pPr>
        <w:jc w:val="both"/>
        <w:rPr>
          <w:rFonts w:ascii="Arial Narrow" w:hAnsi="Arial Narrow" w:cs="Arial Narrow"/>
          <w:sz w:val="22"/>
          <w:szCs w:val="22"/>
          <w:lang w:val="en-US"/>
        </w:rPr>
      </w:pPr>
    </w:p>
    <w:p w:rsidR="00C45F59" w:rsidRDefault="00C45F59" w:rsidP="00C45F59">
      <w:pPr>
        <w:rPr>
          <w:rFonts w:ascii="Arial Narrow" w:hAnsi="Arial Narrow" w:cs="Arial Narrow"/>
          <w:sz w:val="22"/>
          <w:szCs w:val="22"/>
          <w:lang w:val="en-US"/>
        </w:rPr>
      </w:pPr>
      <w:r>
        <w:rPr>
          <w:rFonts w:ascii="Arial Narrow" w:hAnsi="Arial Narrow" w:cs="Arial Narrow"/>
          <w:i/>
          <w:sz w:val="22"/>
          <w:szCs w:val="22"/>
          <w:lang w:val="en-US"/>
        </w:rPr>
        <w:t>Readings</w:t>
      </w:r>
    </w:p>
    <w:p w:rsidR="00C45F59" w:rsidRDefault="00C45F59" w:rsidP="00C45F59">
      <w:pPr>
        <w:jc w:val="both"/>
        <w:rPr>
          <w:rFonts w:ascii="Arial Narrow" w:hAnsi="Arial Narrow" w:cs="Arial Narrow"/>
          <w:sz w:val="22"/>
          <w:szCs w:val="22"/>
          <w:lang w:val="en-US"/>
        </w:rPr>
      </w:pPr>
      <w:proofErr w:type="spellStart"/>
      <w:r>
        <w:rPr>
          <w:rFonts w:ascii="Arial Narrow" w:hAnsi="Arial Narrow" w:cs="Arial Narrow"/>
          <w:sz w:val="22"/>
          <w:szCs w:val="22"/>
          <w:lang w:val="en-US"/>
        </w:rPr>
        <w:t>Brunkhorst</w:t>
      </w:r>
      <w:proofErr w:type="spellEnd"/>
      <w:r>
        <w:rPr>
          <w:rFonts w:ascii="Arial Narrow" w:hAnsi="Arial Narrow" w:cs="Arial Narrow"/>
          <w:sz w:val="22"/>
          <w:szCs w:val="22"/>
          <w:lang w:val="en-US"/>
        </w:rPr>
        <w:t xml:space="preserve">, </w:t>
      </w:r>
      <w:proofErr w:type="spellStart"/>
      <w:r>
        <w:rPr>
          <w:rFonts w:ascii="Arial Narrow" w:hAnsi="Arial Narrow" w:cs="Arial Narrow"/>
          <w:sz w:val="22"/>
          <w:szCs w:val="22"/>
          <w:lang w:val="en-US"/>
        </w:rPr>
        <w:t>Hauke</w:t>
      </w:r>
      <w:proofErr w:type="spellEnd"/>
      <w:r>
        <w:rPr>
          <w:rFonts w:ascii="Arial Narrow" w:hAnsi="Arial Narrow" w:cs="Arial Narrow"/>
          <w:sz w:val="22"/>
          <w:szCs w:val="22"/>
          <w:lang w:val="en-US"/>
        </w:rPr>
        <w:t>. "</w:t>
      </w:r>
      <w:proofErr w:type="spellStart"/>
      <w:r>
        <w:rPr>
          <w:rFonts w:ascii="Arial Narrow" w:hAnsi="Arial Narrow" w:cs="Arial Narrow"/>
          <w:sz w:val="22"/>
          <w:szCs w:val="22"/>
          <w:lang w:val="en-US"/>
        </w:rPr>
        <w:t>Globalising</w:t>
      </w:r>
      <w:proofErr w:type="spellEnd"/>
      <w:r>
        <w:rPr>
          <w:rFonts w:ascii="Arial Narrow" w:hAnsi="Arial Narrow" w:cs="Arial Narrow"/>
          <w:sz w:val="22"/>
          <w:szCs w:val="22"/>
          <w:lang w:val="en-US"/>
        </w:rPr>
        <w:t xml:space="preserve"> democracy without a state: Weak public, strong public, global constitutionalism." </w:t>
      </w:r>
      <w:r>
        <w:rPr>
          <w:rFonts w:ascii="Arial Narrow" w:hAnsi="Arial Narrow" w:cs="Arial Narrow"/>
          <w:i/>
          <w:sz w:val="22"/>
          <w:szCs w:val="22"/>
          <w:lang w:val="en-US"/>
        </w:rPr>
        <w:t>Millennium-Journal of International Studies</w:t>
      </w:r>
      <w:r>
        <w:rPr>
          <w:rFonts w:ascii="Arial Narrow" w:hAnsi="Arial Narrow" w:cs="Arial Narrow"/>
          <w:sz w:val="22"/>
          <w:szCs w:val="22"/>
          <w:lang w:val="en-US"/>
        </w:rPr>
        <w:t xml:space="preserve"> 31.3 (2002): 675-690.</w:t>
      </w:r>
    </w:p>
    <w:p w:rsidR="00897ADD" w:rsidRDefault="00897ADD" w:rsidP="00C45F59">
      <w:pPr>
        <w:jc w:val="both"/>
        <w:rPr>
          <w:rFonts w:ascii="Arial Narrow" w:hAnsi="Arial Narrow" w:cs="Arial Narrow"/>
          <w:sz w:val="22"/>
          <w:szCs w:val="22"/>
          <w:lang w:val="en-US"/>
        </w:rPr>
      </w:pPr>
    </w:p>
    <w:p w:rsidR="00897ADD" w:rsidRDefault="00897ADD" w:rsidP="00C45F59">
      <w:pPr>
        <w:jc w:val="both"/>
        <w:rPr>
          <w:rFonts w:ascii="Arial Narrow" w:hAnsi="Arial Narrow" w:cs="Arial Narrow"/>
          <w:sz w:val="22"/>
          <w:szCs w:val="22"/>
          <w:lang w:val="en-US"/>
        </w:rPr>
      </w:pPr>
      <w:r w:rsidRPr="00897ADD">
        <w:rPr>
          <w:rFonts w:ascii="Arial Narrow" w:hAnsi="Arial Narrow" w:cs="Arial Narrow"/>
          <w:sz w:val="22"/>
          <w:szCs w:val="22"/>
          <w:highlight w:val="yellow"/>
          <w:lang w:val="en-US"/>
        </w:rPr>
        <w:t>Thornhill 2016</w:t>
      </w:r>
    </w:p>
    <w:p w:rsidR="00C45F59" w:rsidRDefault="00C45F59" w:rsidP="00C45F59">
      <w:pPr>
        <w:jc w:val="both"/>
        <w:rPr>
          <w:rFonts w:ascii="Arial Narrow" w:hAnsi="Arial Narrow" w:cs="Arial Narrow"/>
          <w:sz w:val="22"/>
          <w:szCs w:val="22"/>
          <w:lang w:val="en-US"/>
        </w:rPr>
      </w:pPr>
    </w:p>
    <w:p w:rsidR="00C45F59" w:rsidRDefault="00C45F59" w:rsidP="00C45F59">
      <w:pPr>
        <w:pStyle w:val="Body1"/>
        <w:jc w:val="center"/>
        <w:rPr>
          <w:rFonts w:ascii="Arial Narrow" w:hAnsi="Arial Narrow" w:cs="Arial Narrow"/>
          <w:b/>
          <w:bCs/>
          <w:kern w:val="1"/>
          <w:sz w:val="22"/>
          <w:szCs w:val="22"/>
          <w:lang w:val="en-US"/>
        </w:rPr>
      </w:pPr>
    </w:p>
    <w:p w:rsidR="00062E92" w:rsidRDefault="00C45F59" w:rsidP="00C45F59">
      <w:pPr>
        <w:pStyle w:val="Body1"/>
        <w:jc w:val="center"/>
      </w:pPr>
      <w:r>
        <w:rPr>
          <w:rFonts w:ascii="Arial Narrow" w:hAnsi="Arial Narrow" w:cs="Arial Narrow"/>
          <w:b/>
          <w:bCs/>
          <w:kern w:val="1"/>
          <w:sz w:val="22"/>
          <w:szCs w:val="22"/>
          <w:lang w:val="en-US"/>
        </w:rPr>
        <w:t>*****</w:t>
      </w:r>
    </w:p>
    <w:sectPr w:rsidR="00062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0"/>
        <w:szCs w:val="20"/>
        <w:lang w:val="en-G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59"/>
    <w:rsid w:val="00062E92"/>
    <w:rsid w:val="00076FEB"/>
    <w:rsid w:val="00155DF8"/>
    <w:rsid w:val="001571C3"/>
    <w:rsid w:val="001709BE"/>
    <w:rsid w:val="003B03A0"/>
    <w:rsid w:val="006052E1"/>
    <w:rsid w:val="00630C9E"/>
    <w:rsid w:val="00897ADD"/>
    <w:rsid w:val="009757AF"/>
    <w:rsid w:val="00AC3F5A"/>
    <w:rsid w:val="00C14539"/>
    <w:rsid w:val="00C45F59"/>
    <w:rsid w:val="00DE33D1"/>
    <w:rsid w:val="00EB1FD5"/>
    <w:rsid w:val="00EF7B4A"/>
    <w:rsid w:val="00F4216A"/>
    <w:rsid w:val="00F649B6"/>
    <w:rsid w:val="00F7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935D"/>
  <w15:chartTrackingRefBased/>
  <w15:docId w15:val="{9FFE663E-BD0C-4A45-B5AE-C86815F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F5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45F59"/>
    <w:pPr>
      <w:suppressAutoHyphens/>
      <w:spacing w:after="0" w:line="240" w:lineRule="auto"/>
    </w:pPr>
    <w:rPr>
      <w:rFonts w:ascii="Times New Roman" w:eastAsia="Arial Unicode MS" w:hAnsi="Times New Roman" w:cs="Times New Roman"/>
      <w:color w:val="000000"/>
      <w:sz w:val="24"/>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1500</Words>
  <Characters>8550</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blokker</dc:creator>
  <cp:keywords/>
  <dc:description/>
  <cp:lastModifiedBy>PB</cp:lastModifiedBy>
  <cp:revision>4</cp:revision>
  <dcterms:created xsi:type="dcterms:W3CDTF">2018-02-01T16:49:00Z</dcterms:created>
  <dcterms:modified xsi:type="dcterms:W3CDTF">2018-02-26T16:38:00Z</dcterms:modified>
</cp:coreProperties>
</file>