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55AF5" w14:textId="16CAA1C5" w:rsidR="00F02E20" w:rsidRDefault="00000000" w:rsidP="00870C56">
      <w:pPr>
        <w:rPr>
          <w:b/>
        </w:rPr>
      </w:pPr>
      <w:r w:rsidRPr="00870C56">
        <w:rPr>
          <w:b/>
        </w:rPr>
        <w:t>Sylabus kurzu „Myš</w:t>
      </w:r>
      <w:r>
        <w:rPr>
          <w:b/>
        </w:rPr>
        <w:t>lenkový svět novověku od Koperní</w:t>
      </w:r>
      <w:r w:rsidRPr="00870C56">
        <w:rPr>
          <w:b/>
        </w:rPr>
        <w:t xml:space="preserve">ka po Kanta“ </w:t>
      </w:r>
      <w:r>
        <w:rPr>
          <w:b/>
        </w:rPr>
        <w:t xml:space="preserve"> </w:t>
      </w:r>
      <w:r w:rsidR="00DB4FBD">
        <w:rPr>
          <w:b/>
        </w:rPr>
        <w:t>2026</w:t>
      </w:r>
      <w:r>
        <w:rPr>
          <w:b/>
        </w:rPr>
        <w:t>/202</w:t>
      </w:r>
      <w:r w:rsidR="00DB4FBD">
        <w:rPr>
          <w:b/>
        </w:rPr>
        <w:t>7</w:t>
      </w:r>
    </w:p>
    <w:p w14:paraId="2CBF276C" w14:textId="77777777" w:rsidR="00F02E20" w:rsidRDefault="00000000" w:rsidP="00870C56">
      <w:pPr>
        <w:rPr>
          <w:b/>
        </w:rPr>
      </w:pPr>
      <w:r>
        <w:rPr>
          <w:b/>
        </w:rPr>
        <w:t xml:space="preserve">Vyučující: </w:t>
      </w:r>
      <w:hyperlink r:id="rId8" w:history="1">
        <w:r w:rsidR="00F02E20" w:rsidRPr="00546E28">
          <w:rPr>
            <w:rStyle w:val="Hypertextovodkaz"/>
            <w:b/>
          </w:rPr>
          <w:t>Ondřej Švec, Ph.D.</w:t>
        </w:r>
      </w:hyperlink>
    </w:p>
    <w:p w14:paraId="3C581979" w14:textId="77777777" w:rsidR="00F02E20" w:rsidRDefault="00F02E20" w:rsidP="00870C56"/>
    <w:p w14:paraId="1AD61C7D" w14:textId="77777777" w:rsidR="00F02E20" w:rsidRPr="00870C56" w:rsidRDefault="00000000" w:rsidP="00870C56">
      <w:pPr>
        <w:rPr>
          <w:b/>
        </w:rPr>
      </w:pPr>
      <w:r w:rsidRPr="00870C56">
        <w:rPr>
          <w:b/>
        </w:rPr>
        <w:t>Anotace:</w:t>
      </w:r>
    </w:p>
    <w:p w14:paraId="3ED81745" w14:textId="5A3E6F54" w:rsidR="00F02E20" w:rsidRDefault="003539A7" w:rsidP="00870C56">
      <w:r w:rsidRPr="003539A7">
        <w:t xml:space="preserve">V kurzu budou představeny základních pojmy a témata novověkého myšlení ve vazbě na politický, sociální i literární kontext, v němž se radikálně proměnilo chápání místa člověka v kosmu i jedince ve společnosti. S ohledem na narůstající specializaci jednotlivých vědeckých oblastí počínaje 17. stoletím se do popředí dostane problém jednoty veškerého vědění a otázka </w:t>
      </w:r>
      <w:proofErr w:type="gramStart"/>
      <w:r w:rsidRPr="003539A7">
        <w:t>filosofického</w:t>
      </w:r>
      <w:proofErr w:type="gramEnd"/>
      <w:r w:rsidRPr="003539A7">
        <w:t xml:space="preserve"> založení objektivně platného poznání. Pozornost bude věnována jak proniknutí do myšlenkového světa raného novověku, tak i otázce, do jaké míry jsme my sami dědicové novověkého pohledu na přírodu a člověka. Smyslem tohoto kurzu tedy není podat pouze historický přehled o jednotlivých doktrínách, ale zpochybnit některé zdánlivé samozřejmosti dneška hledáním odpovědí na tři vzájemně propojené okruhy otázek:</w:t>
      </w:r>
      <w:r w:rsidRPr="003539A7">
        <w:br/>
        <w:t>• Na jakých základech stojí poznání světa v pojetí novověkých myslitelů?</w:t>
      </w:r>
      <w:r w:rsidRPr="003539A7">
        <w:br/>
        <w:t>• Jak se příroda proměnila v objekt, který stojí před zrakem myslícího subjektu?</w:t>
      </w:r>
      <w:r w:rsidRPr="003539A7">
        <w:br/>
        <w:t>• V čem se novověké chápání místa člověka v kosmu odlišuje od dřívějších pojetí?</w:t>
      </w:r>
    </w:p>
    <w:p w14:paraId="4413D2C5" w14:textId="77777777" w:rsidR="003539A7" w:rsidRDefault="003539A7" w:rsidP="00870C56"/>
    <w:p w14:paraId="5221BFCD" w14:textId="77777777" w:rsidR="002708D6" w:rsidRDefault="00000000" w:rsidP="002708D6">
      <w:r>
        <w:rPr>
          <w:b/>
        </w:rPr>
        <w:t>Požadavky k získání atestace</w:t>
      </w:r>
      <w:r w:rsidRPr="00870C56">
        <w:rPr>
          <w:b/>
        </w:rPr>
        <w:t xml:space="preserve">: </w:t>
      </w:r>
      <w:r w:rsidR="008B337F" w:rsidRPr="008B337F">
        <w:br/>
      </w:r>
      <w:r w:rsidR="002708D6">
        <w:t>Jedinou podmínkou pro získání zápočtu je úspěšné absolvování závěrečného testu, který bude vypsán v minimálně třech termínech během zkouškového období. Na moodlu naleznete postupně aktualizovaný seznam otázek pro akademický rok 2026/2027, které vycházejí z obsahu přednášek. Na každou z nich si předem samostatně vypracujte odpověď na základě svých poznámek z přednášek, za pomoci prezentací, které máte taktéž na moodlu, jakož i s využitím doporučeného seznamu literatury v SISu.</w:t>
      </w:r>
    </w:p>
    <w:p w14:paraId="64ECA3E5" w14:textId="77777777" w:rsidR="002708D6" w:rsidRDefault="002708D6" w:rsidP="002708D6">
      <w:r>
        <w:t xml:space="preserve">Vedle přednášek je povinnou součástí kurzu četba Descartovy </w:t>
      </w:r>
      <w:r w:rsidRPr="002708D6">
        <w:rPr>
          <w:i/>
          <w:iCs/>
        </w:rPr>
        <w:t>Rozpravy o metodě</w:t>
      </w:r>
      <w:r>
        <w:t xml:space="preserve">, kterou si studenti musí během semestru samostatně přečíst. Znalost tohoto textu nebude ověřována pouze obecně, ale konkrétními otázkami v závěrečném testu. V den zápočtového testu vyberu 8 otázek ze seznamu otázek k přednáškám a 2 otázky zaměřené na obsah a argumentaci </w:t>
      </w:r>
      <w:r w:rsidRPr="002708D6">
        <w:rPr>
          <w:i/>
          <w:iCs/>
        </w:rPr>
        <w:t>Rozpravy o metodě</w:t>
      </w:r>
      <w:r>
        <w:t>. Na zodpovězení těchto 10 otázek budete mít 90 minut.</w:t>
      </w:r>
    </w:p>
    <w:p w14:paraId="505F7D2F" w14:textId="58CA535B" w:rsidR="00F02E20" w:rsidRPr="00546E28" w:rsidRDefault="00000000" w:rsidP="002708D6">
      <w:r w:rsidRPr="00546E28">
        <w:t> </w:t>
      </w:r>
    </w:p>
    <w:p w14:paraId="7A525973" w14:textId="77777777" w:rsidR="00F02E20" w:rsidRPr="00546E28" w:rsidRDefault="00000000" w:rsidP="00546E28">
      <w:r w:rsidRPr="00546E28">
        <w:t>Plný počet bodů za každou odpověď dostanete v případě:</w:t>
      </w:r>
    </w:p>
    <w:p w14:paraId="443E87C3" w14:textId="77777777" w:rsidR="00F02E20" w:rsidRPr="00546E28" w:rsidRDefault="00000000" w:rsidP="00546E28">
      <w:r w:rsidRPr="00546E28">
        <w:t>1) že ji dokážete samostatně zformulovat v logicky navazujících větách (žádné šipky, odrážky apod.)</w:t>
      </w:r>
    </w:p>
    <w:p w14:paraId="2DEB2EC4" w14:textId="77777777" w:rsidR="00F02E20" w:rsidRPr="00546E28" w:rsidRDefault="00000000" w:rsidP="00546E28">
      <w:r w:rsidRPr="00546E28">
        <w:t>2) že vaše odpověď bude formulována minimálně v 6 ucelených souvětích</w:t>
      </w:r>
    </w:p>
    <w:p w14:paraId="326DD066" w14:textId="77777777" w:rsidR="00F02E20" w:rsidRPr="00546E28" w:rsidRDefault="00000000" w:rsidP="00546E28">
      <w:r w:rsidRPr="00546E28">
        <w:t>3) že z ní bude patrné vaše porozumění dané problematice</w:t>
      </w:r>
    </w:p>
    <w:p w14:paraId="39E09F90" w14:textId="77777777" w:rsidR="00F02E20" w:rsidRPr="00546E28" w:rsidRDefault="00000000" w:rsidP="00546E28">
      <w:r w:rsidRPr="00546E28">
        <w:t xml:space="preserve">4) že ve své odpovědi nebudete uvádět věci, na které se neptám. </w:t>
      </w:r>
    </w:p>
    <w:p w14:paraId="79562E3A" w14:textId="77777777" w:rsidR="00F02E20" w:rsidRPr="00546E28" w:rsidRDefault="00000000" w:rsidP="00546E28">
      <w:r w:rsidRPr="00546E28">
        <w:t>Za takovouto odpověď získáte 2 body. Maximální dosažitelný počet bodů je 20. </w:t>
      </w:r>
    </w:p>
    <w:p w14:paraId="7A385BE1" w14:textId="77777777" w:rsidR="00F02E20" w:rsidRPr="00546E28" w:rsidRDefault="00000000" w:rsidP="00546E28">
      <w:r w:rsidRPr="00546E28">
        <w:rPr>
          <w:b/>
          <w:bCs/>
        </w:rPr>
        <w:t>Pro získání zápočtu musíte v tomto testu získat alespoň 14 bodů.  </w:t>
      </w:r>
    </w:p>
    <w:p w14:paraId="5F29CDD5" w14:textId="77777777" w:rsidR="00F02E20" w:rsidRPr="00870C56" w:rsidRDefault="00F02E20" w:rsidP="00870C56"/>
    <w:p w14:paraId="61CA5166" w14:textId="77777777" w:rsidR="00F02E20" w:rsidRDefault="00F02E20" w:rsidP="00870C56"/>
    <w:p w14:paraId="29A19AE9" w14:textId="77777777" w:rsidR="00F02E20" w:rsidRPr="00DC611E" w:rsidRDefault="00F02E20" w:rsidP="00870C56"/>
    <w:p w14:paraId="37C0A2DA" w14:textId="77777777" w:rsidR="00F02E20" w:rsidRPr="00546E28" w:rsidRDefault="00000000" w:rsidP="00546E28">
      <w:pPr>
        <w:spacing w:after="160"/>
        <w:rPr>
          <w:rFonts w:eastAsia="Calibri"/>
          <w:b/>
          <w:bCs/>
          <w:lang w:eastAsia="en-US"/>
        </w:rPr>
      </w:pPr>
      <w:r w:rsidRPr="00546E28">
        <w:rPr>
          <w:rFonts w:eastAsia="Calibri"/>
          <w:b/>
          <w:bCs/>
          <w:lang w:eastAsia="en-US"/>
        </w:rPr>
        <w:t xml:space="preserve">Primární literatura: </w:t>
      </w:r>
    </w:p>
    <w:p w14:paraId="74346699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Descartes, R. </w:t>
      </w:r>
      <w:r w:rsidRPr="00546E28">
        <w:rPr>
          <w:rFonts w:eastAsia="Calibri"/>
          <w:i/>
          <w:iCs/>
          <w:lang w:eastAsia="en-US"/>
        </w:rPr>
        <w:t>Rozprava o metodě</w:t>
      </w:r>
      <w:r w:rsidRPr="00546E28">
        <w:rPr>
          <w:rFonts w:eastAsia="Calibri"/>
          <w:lang w:eastAsia="en-US"/>
        </w:rPr>
        <w:t xml:space="preserve">, Praha: Svoboda, 1992 </w:t>
      </w:r>
    </w:p>
    <w:p w14:paraId="195100E2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Descartes, R., </w:t>
      </w:r>
      <w:r w:rsidRPr="00546E28">
        <w:rPr>
          <w:rFonts w:eastAsia="Calibri"/>
          <w:i/>
          <w:iCs/>
          <w:lang w:eastAsia="en-US"/>
        </w:rPr>
        <w:t xml:space="preserve">Meditace o první </w:t>
      </w:r>
      <w:proofErr w:type="gramStart"/>
      <w:r w:rsidRPr="00546E28">
        <w:rPr>
          <w:rFonts w:eastAsia="Calibri"/>
          <w:i/>
          <w:iCs/>
          <w:lang w:eastAsia="en-US"/>
        </w:rPr>
        <w:t>filosofii</w:t>
      </w:r>
      <w:proofErr w:type="gramEnd"/>
      <w:r w:rsidRPr="00546E28">
        <w:rPr>
          <w:rFonts w:eastAsia="Calibri"/>
          <w:i/>
          <w:iCs/>
          <w:lang w:eastAsia="en-US"/>
        </w:rPr>
        <w:t>. Námitky a autorovy odpovědi</w:t>
      </w:r>
      <w:r w:rsidRPr="00546E28">
        <w:rPr>
          <w:rFonts w:eastAsia="Calibri"/>
          <w:lang w:eastAsia="en-US"/>
        </w:rPr>
        <w:t xml:space="preserve">, Praha: Oikoymenh, 2003 </w:t>
      </w:r>
    </w:p>
    <w:p w14:paraId="539B96F9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Locke, J., </w:t>
      </w:r>
      <w:r w:rsidRPr="00546E28">
        <w:rPr>
          <w:rFonts w:eastAsia="Calibri"/>
          <w:i/>
          <w:iCs/>
          <w:lang w:eastAsia="en-US"/>
        </w:rPr>
        <w:t>Esej o lidském chápání</w:t>
      </w:r>
      <w:r w:rsidRPr="00546E28">
        <w:rPr>
          <w:rFonts w:eastAsia="Calibri"/>
          <w:lang w:eastAsia="en-US"/>
        </w:rPr>
        <w:t xml:space="preserve">, Praha: Oikoymenh, 2012 </w:t>
      </w:r>
    </w:p>
    <w:p w14:paraId="12FBA321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Spinoza, B., </w:t>
      </w:r>
      <w:r w:rsidRPr="00546E28">
        <w:rPr>
          <w:rFonts w:eastAsia="Calibri"/>
          <w:i/>
          <w:iCs/>
          <w:lang w:eastAsia="en-US"/>
        </w:rPr>
        <w:t>Etika</w:t>
      </w:r>
      <w:r w:rsidRPr="00546E28">
        <w:rPr>
          <w:rFonts w:eastAsia="Calibri"/>
          <w:lang w:eastAsia="en-US"/>
        </w:rPr>
        <w:t xml:space="preserve">, Praha: Dybbuk 2001 </w:t>
      </w:r>
    </w:p>
    <w:p w14:paraId="5AADE634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Hume, D., </w:t>
      </w:r>
      <w:r w:rsidRPr="00546E28">
        <w:rPr>
          <w:rFonts w:eastAsia="Calibri"/>
          <w:i/>
          <w:iCs/>
          <w:lang w:eastAsia="en-US"/>
        </w:rPr>
        <w:t>Zkoumání o lidském rozumu</w:t>
      </w:r>
      <w:r w:rsidRPr="00546E28">
        <w:rPr>
          <w:rFonts w:eastAsia="Calibri"/>
          <w:lang w:eastAsia="en-US"/>
        </w:rPr>
        <w:t xml:space="preserve">, Praha: Svoboda, 1996 </w:t>
      </w:r>
    </w:p>
    <w:p w14:paraId="5C654217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Kant, I., </w:t>
      </w:r>
      <w:r w:rsidRPr="00546E28">
        <w:rPr>
          <w:rFonts w:eastAsia="Calibri"/>
          <w:i/>
          <w:iCs/>
          <w:lang w:eastAsia="en-US"/>
        </w:rPr>
        <w:t>Základy metafyziky mravů</w:t>
      </w:r>
      <w:r w:rsidRPr="00546E28">
        <w:rPr>
          <w:rFonts w:eastAsia="Calibri"/>
          <w:lang w:eastAsia="en-US"/>
        </w:rPr>
        <w:t xml:space="preserve">, Praha: Svoboda, 1990 </w:t>
      </w:r>
    </w:p>
    <w:p w14:paraId="33A54718" w14:textId="77777777" w:rsidR="00F02E20" w:rsidRPr="00546E28" w:rsidRDefault="00000000" w:rsidP="00546E28">
      <w:pPr>
        <w:spacing w:after="160"/>
        <w:rPr>
          <w:rFonts w:eastAsia="Calibri"/>
          <w:b/>
          <w:bCs/>
          <w:lang w:eastAsia="en-US"/>
        </w:rPr>
      </w:pPr>
      <w:r w:rsidRPr="00546E28">
        <w:rPr>
          <w:rFonts w:eastAsia="Calibri"/>
          <w:b/>
          <w:bCs/>
          <w:lang w:eastAsia="en-US"/>
        </w:rPr>
        <w:t xml:space="preserve">Sekundární literatura: </w:t>
      </w:r>
    </w:p>
    <w:p w14:paraId="66A53C48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Cottingham, J., </w:t>
      </w:r>
      <w:r w:rsidRPr="00546E28">
        <w:rPr>
          <w:rFonts w:eastAsia="Calibri"/>
          <w:i/>
          <w:iCs/>
          <w:lang w:eastAsia="en-US"/>
        </w:rPr>
        <w:t>The rationalists</w:t>
      </w:r>
      <w:r w:rsidRPr="00546E28">
        <w:rPr>
          <w:rFonts w:eastAsia="Calibri"/>
          <w:lang w:eastAsia="en-US"/>
        </w:rPr>
        <w:t xml:space="preserve">, Oxford: Oxford University Press, 1988 </w:t>
      </w:r>
    </w:p>
    <w:p w14:paraId="6C068AD1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Hadot, P. </w:t>
      </w:r>
      <w:r w:rsidRPr="00546E28">
        <w:rPr>
          <w:rFonts w:eastAsia="Calibri"/>
          <w:i/>
          <w:iCs/>
          <w:lang w:eastAsia="en-US"/>
        </w:rPr>
        <w:t>Závoj Isidin. Esej o dějinách ideje přírody</w:t>
      </w:r>
      <w:r w:rsidRPr="00546E28">
        <w:rPr>
          <w:rFonts w:eastAsia="Calibri"/>
          <w:lang w:eastAsia="en-US"/>
        </w:rPr>
        <w:t xml:space="preserve">, Praha: Vyšehrad 2010 </w:t>
      </w:r>
    </w:p>
    <w:p w14:paraId="52086D02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Koyré, A., </w:t>
      </w:r>
      <w:r w:rsidRPr="00546E28">
        <w:rPr>
          <w:rFonts w:eastAsia="Calibri"/>
          <w:i/>
          <w:iCs/>
          <w:lang w:eastAsia="en-US"/>
        </w:rPr>
        <w:t>Od uzavřeného světa k nekonečnému vesmíru</w:t>
      </w:r>
      <w:r w:rsidRPr="00546E28">
        <w:rPr>
          <w:rFonts w:eastAsia="Calibri"/>
          <w:lang w:eastAsia="en-US"/>
        </w:rPr>
        <w:t xml:space="preserve">, Praha: Vyšehrad, 2004 </w:t>
      </w:r>
    </w:p>
    <w:p w14:paraId="284AD3F3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Nadler, S. M. A., </w:t>
      </w:r>
      <w:r w:rsidRPr="00546E28">
        <w:rPr>
          <w:rFonts w:eastAsia="Calibri"/>
          <w:i/>
          <w:iCs/>
          <w:lang w:eastAsia="en-US"/>
        </w:rPr>
        <w:t>Companion to Early Modern Philosophy</w:t>
      </w:r>
      <w:r w:rsidRPr="00546E28">
        <w:rPr>
          <w:rFonts w:eastAsia="Calibri"/>
          <w:lang w:eastAsia="en-US"/>
        </w:rPr>
        <w:t xml:space="preserve">. Oxford: OUP, 2002 </w:t>
      </w:r>
    </w:p>
    <w:p w14:paraId="59B1CC2B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Röd, W., </w:t>
      </w:r>
      <w:r w:rsidRPr="00546E28">
        <w:rPr>
          <w:rFonts w:eastAsia="Calibri"/>
          <w:i/>
          <w:iCs/>
          <w:lang w:eastAsia="en-US"/>
        </w:rPr>
        <w:t xml:space="preserve">Novověká </w:t>
      </w:r>
      <w:proofErr w:type="gramStart"/>
      <w:r w:rsidRPr="00546E28">
        <w:rPr>
          <w:rFonts w:eastAsia="Calibri"/>
          <w:i/>
          <w:iCs/>
          <w:lang w:eastAsia="en-US"/>
        </w:rPr>
        <w:t>filosofie</w:t>
      </w:r>
      <w:proofErr w:type="gramEnd"/>
      <w:r w:rsidRPr="00546E28">
        <w:rPr>
          <w:rFonts w:eastAsia="Calibri"/>
          <w:i/>
          <w:iCs/>
          <w:lang w:eastAsia="en-US"/>
        </w:rPr>
        <w:t>. Sv. I.</w:t>
      </w:r>
      <w:r w:rsidRPr="00546E28">
        <w:rPr>
          <w:rFonts w:eastAsia="Calibri"/>
          <w:lang w:eastAsia="en-US"/>
        </w:rPr>
        <w:t xml:space="preserve">, Praha: Oikoymenh, 2001, zejména str. 9-41 a 62-147 </w:t>
      </w:r>
    </w:p>
    <w:p w14:paraId="14F284FC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Röd, W., </w:t>
      </w:r>
      <w:r w:rsidRPr="00546E28">
        <w:rPr>
          <w:rFonts w:eastAsia="Calibri"/>
          <w:i/>
          <w:iCs/>
          <w:lang w:eastAsia="en-US"/>
        </w:rPr>
        <w:t xml:space="preserve">Novověká </w:t>
      </w:r>
      <w:proofErr w:type="gramStart"/>
      <w:r w:rsidRPr="00546E28">
        <w:rPr>
          <w:rFonts w:eastAsia="Calibri"/>
          <w:i/>
          <w:iCs/>
          <w:lang w:eastAsia="en-US"/>
        </w:rPr>
        <w:t>filosofie</w:t>
      </w:r>
      <w:proofErr w:type="gramEnd"/>
      <w:r w:rsidRPr="00546E28">
        <w:rPr>
          <w:rFonts w:eastAsia="Calibri"/>
          <w:i/>
          <w:iCs/>
          <w:lang w:eastAsia="en-US"/>
        </w:rPr>
        <w:t>. Sv. II</w:t>
      </w:r>
      <w:r w:rsidRPr="00546E28">
        <w:rPr>
          <w:rFonts w:eastAsia="Calibri"/>
          <w:lang w:eastAsia="en-US"/>
        </w:rPr>
        <w:t xml:space="preserve">, Praha: Oikoymenh, 2001, zejména str. </w:t>
      </w:r>
      <w:proofErr w:type="gramStart"/>
      <w:r w:rsidRPr="00546E28">
        <w:rPr>
          <w:rFonts w:eastAsia="Calibri"/>
          <w:lang w:eastAsia="en-US"/>
        </w:rPr>
        <w:t>1 - 136</w:t>
      </w:r>
      <w:proofErr w:type="gramEnd"/>
      <w:r w:rsidRPr="00546E28">
        <w:rPr>
          <w:rFonts w:eastAsia="Calibri"/>
          <w:lang w:eastAsia="en-US"/>
        </w:rPr>
        <w:t xml:space="preserve"> a 216-258</w:t>
      </w:r>
    </w:p>
    <w:p w14:paraId="36E47896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lastRenderedPageBreak/>
        <w:t xml:space="preserve">Rutherford, D. (ed.), </w:t>
      </w:r>
      <w:r w:rsidRPr="00546E28">
        <w:rPr>
          <w:rFonts w:eastAsia="Calibri"/>
          <w:i/>
          <w:iCs/>
          <w:lang w:eastAsia="en-US"/>
        </w:rPr>
        <w:t xml:space="preserve">The Cambrige Companion to Early </w:t>
      </w:r>
      <w:r w:rsidRPr="00546E28">
        <w:rPr>
          <w:rFonts w:eastAsia="Calibri"/>
          <w:i/>
          <w:iCs/>
          <w:lang w:val="en-US" w:eastAsia="en-US"/>
        </w:rPr>
        <w:t>M</w:t>
      </w:r>
      <w:r w:rsidRPr="00546E28">
        <w:rPr>
          <w:rFonts w:eastAsia="Calibri"/>
          <w:i/>
          <w:iCs/>
          <w:lang w:eastAsia="en-US"/>
        </w:rPr>
        <w:t>odern Philosophy</w:t>
      </w:r>
      <w:r w:rsidRPr="00546E28">
        <w:rPr>
          <w:rFonts w:eastAsia="Calibri"/>
          <w:lang w:eastAsia="en-US"/>
        </w:rPr>
        <w:t>, Cambridge: CUP 2006.  </w:t>
      </w:r>
    </w:p>
    <w:p w14:paraId="75F2DF71" w14:textId="77777777" w:rsidR="00F02E20" w:rsidRPr="00546E28" w:rsidRDefault="00000000" w:rsidP="00546E28">
      <w:pPr>
        <w:spacing w:after="160"/>
        <w:rPr>
          <w:rFonts w:eastAsia="Calibri"/>
          <w:lang w:eastAsia="en-US"/>
        </w:rPr>
      </w:pPr>
      <w:r w:rsidRPr="00546E28">
        <w:rPr>
          <w:rFonts w:eastAsia="Calibri"/>
          <w:lang w:eastAsia="en-US"/>
        </w:rPr>
        <w:t xml:space="preserve">Scruton, R., </w:t>
      </w:r>
      <w:r w:rsidRPr="00546E28">
        <w:rPr>
          <w:rFonts w:eastAsia="Calibri"/>
          <w:i/>
          <w:iCs/>
          <w:lang w:eastAsia="en-US"/>
        </w:rPr>
        <w:t xml:space="preserve">Krátké dějiny novověké </w:t>
      </w:r>
      <w:proofErr w:type="gramStart"/>
      <w:r w:rsidRPr="00546E28">
        <w:rPr>
          <w:rFonts w:eastAsia="Calibri"/>
          <w:i/>
          <w:iCs/>
          <w:lang w:eastAsia="en-US"/>
        </w:rPr>
        <w:t>filosofie</w:t>
      </w:r>
      <w:proofErr w:type="gramEnd"/>
      <w:r w:rsidRPr="00546E28">
        <w:rPr>
          <w:rFonts w:eastAsia="Calibri"/>
          <w:lang w:eastAsia="en-US"/>
        </w:rPr>
        <w:t>, Brno: Barrister &amp; Principal, 1999, str. 1-186</w:t>
      </w:r>
    </w:p>
    <w:p w14:paraId="2F26B792" w14:textId="77777777" w:rsidR="00F02E20" w:rsidRPr="00546E28" w:rsidRDefault="00000000" w:rsidP="00546E28">
      <w:p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546E28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Sylabus </w:t>
      </w:r>
    </w:p>
    <w:p w14:paraId="7B5D1E20" w14:textId="77777777" w:rsidR="00F02E20" w:rsidRDefault="00F02E20" w:rsidP="00546E28">
      <w:pPr>
        <w:rPr>
          <w:rFonts w:eastAsia="Calibri"/>
          <w:b/>
          <w:bCs/>
          <w:sz w:val="22"/>
          <w:szCs w:val="22"/>
          <w:lang w:eastAsia="en-US"/>
        </w:rPr>
      </w:pPr>
    </w:p>
    <w:p w14:paraId="3E599EE9" w14:textId="65993647" w:rsidR="00F02E20" w:rsidRPr="00DC611E" w:rsidRDefault="00000000" w:rsidP="00546E28">
      <w:pPr>
        <w:rPr>
          <w:rFonts w:eastAsia="Calibri"/>
          <w:b/>
          <w:bCs/>
          <w:sz w:val="22"/>
          <w:szCs w:val="22"/>
          <w:lang w:eastAsia="en-US"/>
        </w:rPr>
      </w:pPr>
      <w:r w:rsidRPr="00DC611E">
        <w:rPr>
          <w:rFonts w:eastAsia="Calibri"/>
          <w:b/>
          <w:bCs/>
          <w:sz w:val="22"/>
          <w:szCs w:val="22"/>
          <w:lang w:eastAsia="en-US"/>
        </w:rPr>
        <w:t>01</w:t>
      </w:r>
      <w:r w:rsidR="003539A7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DC611E">
        <w:rPr>
          <w:rFonts w:eastAsia="Calibri"/>
          <w:b/>
          <w:bCs/>
          <w:sz w:val="22"/>
          <w:szCs w:val="22"/>
          <w:lang w:eastAsia="en-US"/>
        </w:rPr>
        <w:t xml:space="preserve">- Úvodní přednáška – Od uzavřeného světa k nekonečnému universu   </w:t>
      </w:r>
    </w:p>
    <w:p w14:paraId="0F321475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Rozdíl antického a novověkého pojetí prostoru</w:t>
      </w:r>
    </w:p>
    <w:p w14:paraId="0F478EBE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Rozpad hierarchického řádu bytí a problematizace postavení člověka ve světě</w:t>
      </w:r>
    </w:p>
    <w:p w14:paraId="473BD861" w14:textId="77777777" w:rsidR="00F02E20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Novověká koncepce subjektivity jako odpověď na konec geocentrismu</w:t>
      </w:r>
    </w:p>
    <w:p w14:paraId="7CD7834E" w14:textId="77777777" w:rsidR="00F02E20" w:rsidRPr="00DC611E" w:rsidRDefault="00F02E20" w:rsidP="00546E28">
      <w:pPr>
        <w:rPr>
          <w:rFonts w:eastAsia="Calibri"/>
          <w:b/>
          <w:bCs/>
          <w:sz w:val="22"/>
          <w:szCs w:val="22"/>
          <w:lang w:eastAsia="en-US"/>
        </w:rPr>
      </w:pPr>
    </w:p>
    <w:p w14:paraId="72D540F1" w14:textId="41C42A2B" w:rsidR="00F02E20" w:rsidRPr="00DC611E" w:rsidRDefault="00000000" w:rsidP="00546E28">
      <w:pPr>
        <w:rPr>
          <w:rFonts w:eastAsia="Calibri"/>
          <w:b/>
          <w:bCs/>
          <w:sz w:val="22"/>
          <w:szCs w:val="22"/>
          <w:lang w:eastAsia="en-US"/>
        </w:rPr>
      </w:pPr>
      <w:r w:rsidRPr="00DC611E">
        <w:rPr>
          <w:rFonts w:eastAsia="Calibri"/>
          <w:b/>
          <w:bCs/>
          <w:sz w:val="22"/>
          <w:szCs w:val="22"/>
          <w:lang w:eastAsia="en-US"/>
        </w:rPr>
        <w:t>02</w:t>
      </w:r>
      <w:r w:rsidR="003539A7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DC611E">
        <w:rPr>
          <w:rFonts w:eastAsia="Calibri"/>
          <w:b/>
          <w:bCs/>
          <w:sz w:val="22"/>
          <w:szCs w:val="22"/>
          <w:lang w:eastAsia="en-US"/>
        </w:rPr>
        <w:t xml:space="preserve">- Kopernikánská revoluce   </w:t>
      </w:r>
    </w:p>
    <w:p w14:paraId="146B190C" w14:textId="77777777" w:rsidR="00052007" w:rsidRPr="00052007" w:rsidRDefault="00052007" w:rsidP="00052007">
      <w:pPr>
        <w:rPr>
          <w:rFonts w:eastAsia="Calibri"/>
          <w:sz w:val="22"/>
          <w:szCs w:val="22"/>
          <w:lang w:eastAsia="en-US"/>
        </w:rPr>
      </w:pPr>
      <w:r w:rsidRPr="00052007">
        <w:rPr>
          <w:rFonts w:eastAsia="Calibri"/>
          <w:sz w:val="22"/>
          <w:szCs w:val="22"/>
          <w:lang w:eastAsia="en-US"/>
        </w:rPr>
        <w:t>Nahrazení aristotelsko-ptolemaiovské koncepce kosmu novým pojetím nekonečného univerza, v němž je prostor geometrie ztotožněn se skutečným prostorem světa.</w:t>
      </w:r>
    </w:p>
    <w:p w14:paraId="6BACA10C" w14:textId="77777777" w:rsidR="00052007" w:rsidRPr="00052007" w:rsidRDefault="00052007" w:rsidP="00052007">
      <w:pPr>
        <w:rPr>
          <w:rFonts w:eastAsia="Calibri"/>
          <w:sz w:val="22"/>
          <w:szCs w:val="22"/>
          <w:lang w:eastAsia="en-US"/>
        </w:rPr>
      </w:pPr>
      <w:r w:rsidRPr="00052007">
        <w:rPr>
          <w:rFonts w:eastAsia="Calibri"/>
          <w:sz w:val="22"/>
          <w:szCs w:val="22"/>
          <w:lang w:eastAsia="en-US"/>
        </w:rPr>
        <w:t>Mikuláš Kusánský a jeho nevymezený vesmír</w:t>
      </w:r>
    </w:p>
    <w:p w14:paraId="58AB3255" w14:textId="77777777" w:rsidR="00052007" w:rsidRPr="00052007" w:rsidRDefault="00052007" w:rsidP="00052007">
      <w:pPr>
        <w:rPr>
          <w:rFonts w:eastAsia="Calibri"/>
          <w:sz w:val="22"/>
          <w:szCs w:val="22"/>
          <w:lang w:eastAsia="en-US"/>
        </w:rPr>
      </w:pPr>
      <w:r w:rsidRPr="00052007">
        <w:rPr>
          <w:rFonts w:eastAsia="Calibri"/>
          <w:sz w:val="22"/>
          <w:szCs w:val="22"/>
          <w:lang w:eastAsia="en-US"/>
        </w:rPr>
        <w:t>"Docta ignorantia": vždy jen částečné poznání skutečnosti (prostřednictvím hypotéz)</w:t>
      </w:r>
    </w:p>
    <w:p w14:paraId="3AB6D327" w14:textId="77777777" w:rsidR="00052007" w:rsidRPr="00052007" w:rsidRDefault="00052007" w:rsidP="00052007">
      <w:pPr>
        <w:rPr>
          <w:rFonts w:eastAsia="Calibri"/>
          <w:sz w:val="22"/>
          <w:szCs w:val="22"/>
          <w:lang w:eastAsia="en-US"/>
        </w:rPr>
      </w:pPr>
      <w:r w:rsidRPr="00052007">
        <w:rPr>
          <w:rFonts w:eastAsia="Calibri"/>
          <w:sz w:val="22"/>
          <w:szCs w:val="22"/>
          <w:lang w:eastAsia="en-US"/>
        </w:rPr>
        <w:t>Koperníkův racionální antropocentrismus jako odpověď na relativizaci svědectví smyslů</w:t>
      </w:r>
    </w:p>
    <w:p w14:paraId="12CF44B4" w14:textId="77777777" w:rsidR="00052007" w:rsidRPr="00052007" w:rsidRDefault="00052007" w:rsidP="00052007">
      <w:pPr>
        <w:rPr>
          <w:rFonts w:eastAsia="Calibri"/>
          <w:sz w:val="22"/>
          <w:szCs w:val="22"/>
          <w:lang w:eastAsia="en-US"/>
        </w:rPr>
      </w:pPr>
      <w:proofErr w:type="gramStart"/>
      <w:r w:rsidRPr="00052007">
        <w:rPr>
          <w:rFonts w:eastAsia="Calibri"/>
          <w:sz w:val="22"/>
          <w:szCs w:val="22"/>
          <w:lang w:eastAsia="en-US"/>
        </w:rPr>
        <w:t>Filosofické</w:t>
      </w:r>
      <w:proofErr w:type="gramEnd"/>
      <w:r w:rsidRPr="00052007">
        <w:rPr>
          <w:rFonts w:eastAsia="Calibri"/>
          <w:sz w:val="22"/>
          <w:szCs w:val="22"/>
          <w:lang w:eastAsia="en-US"/>
        </w:rPr>
        <w:t xml:space="preserve"> důsledky (a také meze) Koperníkova vesmíru</w:t>
      </w:r>
    </w:p>
    <w:p w14:paraId="2BD8CDA1" w14:textId="77777777" w:rsidR="00052007" w:rsidRDefault="00052007" w:rsidP="00546E28">
      <w:pPr>
        <w:rPr>
          <w:rFonts w:eastAsia="Calibri"/>
          <w:sz w:val="22"/>
          <w:szCs w:val="22"/>
          <w:lang w:eastAsia="en-US"/>
        </w:rPr>
      </w:pPr>
    </w:p>
    <w:p w14:paraId="7A9BAB34" w14:textId="77777777" w:rsidR="00F02E20" w:rsidRPr="00DC611E" w:rsidRDefault="00000000" w:rsidP="00546E28">
      <w:pPr>
        <w:rPr>
          <w:rFonts w:eastAsia="Calibri"/>
          <w:b/>
          <w:bCs/>
          <w:sz w:val="22"/>
          <w:szCs w:val="22"/>
          <w:lang w:eastAsia="en-US"/>
        </w:rPr>
      </w:pPr>
      <w:r w:rsidRPr="00DC611E">
        <w:rPr>
          <w:rFonts w:eastAsia="Calibri"/>
          <w:b/>
          <w:bCs/>
          <w:sz w:val="22"/>
          <w:szCs w:val="22"/>
          <w:lang w:eastAsia="en-US"/>
        </w:rPr>
        <w:t xml:space="preserve">03 - Renesanční astronomie a medicína   </w:t>
      </w:r>
    </w:p>
    <w:p w14:paraId="4103E8AB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Analogie makrokosmu a mikrokosmu</w:t>
      </w:r>
    </w:p>
    <w:p w14:paraId="4E01CED9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Paracelsus, výkladové principy a experimentální postupy jeho lékařství</w:t>
      </w:r>
    </w:p>
    <w:p w14:paraId="366935CC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Příroda jako živoucí a magická síla; otázky „skrytých kvalit“</w:t>
      </w:r>
    </w:p>
    <w:p w14:paraId="7D419A37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Rysy nového vědeckého poznání v přírodní magii 16. století</w:t>
      </w:r>
    </w:p>
    <w:p w14:paraId="58FD0130" w14:textId="77777777" w:rsidR="00E72EAF" w:rsidRDefault="00E72EAF" w:rsidP="00546E28">
      <w:pPr>
        <w:rPr>
          <w:rFonts w:eastAsia="Calibri"/>
          <w:b/>
          <w:bCs/>
          <w:sz w:val="22"/>
          <w:szCs w:val="22"/>
          <w:lang w:eastAsia="en-US"/>
        </w:rPr>
      </w:pPr>
    </w:p>
    <w:p w14:paraId="58C61848" w14:textId="593D0F4F" w:rsidR="00F02E20" w:rsidRPr="00DC611E" w:rsidRDefault="00E72EAF" w:rsidP="00546E28">
      <w:pPr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04 - </w:t>
      </w:r>
      <w:proofErr w:type="gramStart"/>
      <w:r w:rsidRPr="00DC611E">
        <w:rPr>
          <w:rFonts w:eastAsia="Calibri"/>
          <w:b/>
          <w:bCs/>
          <w:sz w:val="22"/>
          <w:szCs w:val="22"/>
          <w:lang w:eastAsia="en-US"/>
        </w:rPr>
        <w:t>Bacon - prométheovský</w:t>
      </w:r>
      <w:proofErr w:type="gramEnd"/>
      <w:r w:rsidRPr="00DC611E">
        <w:rPr>
          <w:rFonts w:eastAsia="Calibri"/>
          <w:b/>
          <w:bCs/>
          <w:sz w:val="22"/>
          <w:szCs w:val="22"/>
          <w:lang w:eastAsia="en-US"/>
        </w:rPr>
        <w:t xml:space="preserve"> přístup k přírodě   </w:t>
      </w:r>
    </w:p>
    <w:p w14:paraId="429E5600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Nová metoda, jak postupovat ve vědách</w:t>
      </w:r>
    </w:p>
    <w:p w14:paraId="4F5621A7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Kritika "idolů" coby epistemologických překážek</w:t>
      </w:r>
    </w:p>
    <w:p w14:paraId="3655F3D6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Metodická indukce: třídění pozorovaného za účelem odhalení zákonitosti přírodních jevů</w:t>
      </w:r>
    </w:p>
    <w:p w14:paraId="1A782F5D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Prométheovský vs. orfický přístup k přírodě</w:t>
      </w:r>
    </w:p>
    <w:p w14:paraId="0FBDB55D" w14:textId="77777777" w:rsidR="00F02E20" w:rsidRPr="00DC611E" w:rsidRDefault="00F02E20" w:rsidP="00546E28">
      <w:pPr>
        <w:rPr>
          <w:b/>
          <w:sz w:val="22"/>
          <w:szCs w:val="22"/>
        </w:rPr>
      </w:pPr>
    </w:p>
    <w:p w14:paraId="76E4262A" w14:textId="0E81F8BF" w:rsidR="00F02E20" w:rsidRPr="00DC611E" w:rsidRDefault="00E72EAF" w:rsidP="00546E28">
      <w:pPr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05 - </w:t>
      </w:r>
      <w:r w:rsidRPr="00DC611E">
        <w:rPr>
          <w:rFonts w:eastAsia="Calibri"/>
          <w:b/>
          <w:bCs/>
          <w:sz w:val="22"/>
          <w:szCs w:val="22"/>
          <w:lang w:eastAsia="en-US"/>
        </w:rPr>
        <w:t xml:space="preserve">Galileova matematizace universa   </w:t>
      </w:r>
    </w:p>
    <w:p w14:paraId="29990A07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Nová astronomická pozorování pomocí dalekohledu</w:t>
      </w:r>
    </w:p>
    <w:p w14:paraId="6F227041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Příroda je kniha psaná jazykem matematiky</w:t>
      </w:r>
    </w:p>
    <w:p w14:paraId="173952EB" w14:textId="77777777" w:rsidR="00F02E20" w:rsidRPr="00DC611E" w:rsidRDefault="00000000" w:rsidP="00546E28">
      <w:pPr>
        <w:rPr>
          <w:rFonts w:eastAsia="Calibri"/>
          <w:sz w:val="22"/>
          <w:szCs w:val="22"/>
          <w:lang w:eastAsia="en-US"/>
        </w:rPr>
      </w:pPr>
      <w:r w:rsidRPr="00DC611E">
        <w:rPr>
          <w:rFonts w:eastAsia="Calibri"/>
          <w:sz w:val="22"/>
          <w:szCs w:val="22"/>
          <w:lang w:eastAsia="en-US"/>
        </w:rPr>
        <w:t>Rozlišení mezi primárními a sekundárními kvalitami</w:t>
      </w:r>
    </w:p>
    <w:p w14:paraId="0D2ECB07" w14:textId="77777777" w:rsidR="00F02E20" w:rsidRPr="00DC611E" w:rsidRDefault="00000000" w:rsidP="00546E28">
      <w:pPr>
        <w:rPr>
          <w:sz w:val="22"/>
          <w:szCs w:val="22"/>
        </w:rPr>
      </w:pPr>
      <w:r>
        <w:rPr>
          <w:sz w:val="22"/>
          <w:szCs w:val="22"/>
        </w:rPr>
        <w:t>Č</w:t>
      </w:r>
      <w:r w:rsidRPr="00DC611E">
        <w:rPr>
          <w:sz w:val="22"/>
          <w:szCs w:val="22"/>
        </w:rPr>
        <w:t>lověk jako "pán a vládce přírody" (prométheovský vs. orfický přístup)</w:t>
      </w:r>
    </w:p>
    <w:p w14:paraId="572F9439" w14:textId="77777777" w:rsidR="00F02E20" w:rsidRDefault="00000000" w:rsidP="00546E28">
      <w:pPr>
        <w:rPr>
          <w:sz w:val="22"/>
          <w:szCs w:val="22"/>
        </w:rPr>
      </w:pPr>
      <w:r w:rsidRPr="00DC611E">
        <w:rPr>
          <w:sz w:val="22"/>
          <w:szCs w:val="22"/>
        </w:rPr>
        <w:t>Odtržení člověka od světa, duše od těla. Úskalí Descartova dualismu</w:t>
      </w:r>
    </w:p>
    <w:p w14:paraId="57562FE3" w14:textId="77777777" w:rsidR="00F02E20" w:rsidRDefault="00F02E20" w:rsidP="00546E28">
      <w:pPr>
        <w:rPr>
          <w:sz w:val="22"/>
          <w:szCs w:val="22"/>
        </w:rPr>
      </w:pPr>
    </w:p>
    <w:p w14:paraId="7C42CCCE" w14:textId="77777777" w:rsidR="003539A7" w:rsidRPr="00DC611E" w:rsidRDefault="003539A7" w:rsidP="003539A7">
      <w:pPr>
        <w:rPr>
          <w:b/>
          <w:sz w:val="22"/>
          <w:szCs w:val="22"/>
        </w:rPr>
      </w:pPr>
      <w:r w:rsidRPr="00DC611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6</w:t>
      </w:r>
      <w:r w:rsidRPr="00DC611E">
        <w:rPr>
          <w:b/>
          <w:sz w:val="22"/>
          <w:szCs w:val="22"/>
        </w:rPr>
        <w:t xml:space="preserve"> - Mundus est </w:t>
      </w:r>
      <w:proofErr w:type="gramStart"/>
      <w:r w:rsidRPr="00DC611E">
        <w:rPr>
          <w:b/>
          <w:sz w:val="22"/>
          <w:szCs w:val="22"/>
        </w:rPr>
        <w:t>fabula - Descartes</w:t>
      </w:r>
      <w:proofErr w:type="gramEnd"/>
      <w:r w:rsidRPr="00DC611E">
        <w:rPr>
          <w:b/>
          <w:sz w:val="22"/>
          <w:szCs w:val="22"/>
        </w:rPr>
        <w:t xml:space="preserve">, baroko a vznik novověké přírodovědy formou románu   </w:t>
      </w:r>
    </w:p>
    <w:p w14:paraId="29B7EAC8" w14:textId="77777777" w:rsidR="003539A7" w:rsidRPr="00DC611E" w:rsidRDefault="003539A7" w:rsidP="003539A7">
      <w:pPr>
        <w:rPr>
          <w:sz w:val="22"/>
          <w:szCs w:val="22"/>
        </w:rPr>
      </w:pPr>
      <w:r w:rsidRPr="00DC611E">
        <w:rPr>
          <w:sz w:val="22"/>
          <w:szCs w:val="22"/>
        </w:rPr>
        <w:t>Důvody ke skepsi na přelomu 16. a 17. stol.</w:t>
      </w:r>
    </w:p>
    <w:p w14:paraId="0FB6BC86" w14:textId="77777777" w:rsidR="003539A7" w:rsidRPr="00DC611E" w:rsidRDefault="003539A7" w:rsidP="003539A7">
      <w:pPr>
        <w:rPr>
          <w:sz w:val="22"/>
          <w:szCs w:val="22"/>
        </w:rPr>
      </w:pPr>
      <w:r w:rsidRPr="00DC611E">
        <w:rPr>
          <w:sz w:val="22"/>
          <w:szCs w:val="22"/>
        </w:rPr>
        <w:t xml:space="preserve">Theatrum </w:t>
      </w:r>
      <w:proofErr w:type="gramStart"/>
      <w:r w:rsidRPr="00DC611E">
        <w:rPr>
          <w:sz w:val="22"/>
          <w:szCs w:val="22"/>
        </w:rPr>
        <w:t>anatomicum - divadlo</w:t>
      </w:r>
      <w:proofErr w:type="gramEnd"/>
      <w:r w:rsidRPr="00DC611E">
        <w:rPr>
          <w:sz w:val="22"/>
          <w:szCs w:val="22"/>
        </w:rPr>
        <w:t xml:space="preserve"> nicotnosti života</w:t>
      </w:r>
    </w:p>
    <w:p w14:paraId="706B0731" w14:textId="77777777" w:rsidR="003539A7" w:rsidRPr="00DC611E" w:rsidRDefault="003539A7" w:rsidP="003539A7">
      <w:pPr>
        <w:rPr>
          <w:sz w:val="22"/>
          <w:szCs w:val="22"/>
        </w:rPr>
      </w:pPr>
      <w:r w:rsidRPr="00DC611E">
        <w:rPr>
          <w:sz w:val="22"/>
          <w:szCs w:val="22"/>
        </w:rPr>
        <w:t>Odskutečnění světa na sklonku renesance a na počátku baroka</w:t>
      </w:r>
    </w:p>
    <w:p w14:paraId="54FFCA93" w14:textId="77777777" w:rsidR="003539A7" w:rsidRPr="00DC611E" w:rsidRDefault="003539A7" w:rsidP="003539A7">
      <w:pPr>
        <w:rPr>
          <w:sz w:val="22"/>
          <w:szCs w:val="22"/>
        </w:rPr>
      </w:pPr>
      <w:r w:rsidRPr="00DC611E">
        <w:rPr>
          <w:sz w:val="22"/>
          <w:szCs w:val="22"/>
        </w:rPr>
        <w:t>Descartův první spis o přírodě "Le Monde", vyprávěný formou románu</w:t>
      </w:r>
    </w:p>
    <w:p w14:paraId="740B5944" w14:textId="77777777" w:rsidR="003539A7" w:rsidRPr="00DC611E" w:rsidRDefault="003539A7" w:rsidP="003539A7">
      <w:pPr>
        <w:rPr>
          <w:sz w:val="22"/>
          <w:szCs w:val="22"/>
        </w:rPr>
      </w:pPr>
      <w:r w:rsidRPr="00DC611E">
        <w:rPr>
          <w:sz w:val="22"/>
          <w:szCs w:val="22"/>
        </w:rPr>
        <w:t>Starý svět aristotelsko-scholastické tradice vs. nový svět mechanistické přírodovědy</w:t>
      </w:r>
    </w:p>
    <w:p w14:paraId="78179497" w14:textId="21A4CBF8" w:rsidR="00E72EAF" w:rsidRPr="00E72EAF" w:rsidRDefault="00E72EAF" w:rsidP="00546E28">
      <w:pPr>
        <w:rPr>
          <w:sz w:val="22"/>
          <w:szCs w:val="22"/>
        </w:rPr>
      </w:pPr>
      <w:r w:rsidRPr="00DC611E">
        <w:rPr>
          <w:sz w:val="22"/>
          <w:szCs w:val="22"/>
        </w:rPr>
        <w:t xml:space="preserve">  </w:t>
      </w:r>
    </w:p>
    <w:p w14:paraId="1C74832A" w14:textId="4970BA69" w:rsidR="00E72EAF" w:rsidRPr="00DC611E" w:rsidRDefault="00E72EAF" w:rsidP="00E72EAF">
      <w:pPr>
        <w:rPr>
          <w:b/>
          <w:sz w:val="22"/>
          <w:szCs w:val="22"/>
        </w:rPr>
      </w:pPr>
      <w:r w:rsidRPr="00DC611E">
        <w:rPr>
          <w:b/>
          <w:sz w:val="22"/>
          <w:szCs w:val="22"/>
        </w:rPr>
        <w:t>0</w:t>
      </w:r>
      <w:r w:rsidR="003539A7">
        <w:rPr>
          <w:b/>
          <w:sz w:val="22"/>
          <w:szCs w:val="22"/>
        </w:rPr>
        <w:t>7</w:t>
      </w:r>
      <w:r w:rsidRPr="00DC611E">
        <w:rPr>
          <w:b/>
          <w:sz w:val="22"/>
          <w:szCs w:val="22"/>
        </w:rPr>
        <w:t xml:space="preserve"> - Odkouzlená příroda, pyšný </w:t>
      </w:r>
      <w:proofErr w:type="gramStart"/>
      <w:r w:rsidRPr="00DC611E">
        <w:rPr>
          <w:b/>
          <w:sz w:val="22"/>
          <w:szCs w:val="22"/>
        </w:rPr>
        <w:t>filosof</w:t>
      </w:r>
      <w:proofErr w:type="gramEnd"/>
      <w:r w:rsidRPr="00DC611E">
        <w:rPr>
          <w:b/>
          <w:sz w:val="22"/>
          <w:szCs w:val="22"/>
        </w:rPr>
        <w:t xml:space="preserve"> a smutná princezna   </w:t>
      </w:r>
    </w:p>
    <w:p w14:paraId="7372DECE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Odkouzlení světa (příroda jako hmota v pohybu)</w:t>
      </w:r>
    </w:p>
    <w:p w14:paraId="18DA8544" w14:textId="77777777" w:rsidR="003539A7" w:rsidRPr="003539A7" w:rsidRDefault="003539A7" w:rsidP="003539A7">
      <w:pPr>
        <w:rPr>
          <w:sz w:val="22"/>
          <w:szCs w:val="22"/>
        </w:rPr>
      </w:pPr>
      <w:proofErr w:type="gramStart"/>
      <w:r w:rsidRPr="003539A7">
        <w:rPr>
          <w:sz w:val="22"/>
          <w:szCs w:val="22"/>
        </w:rPr>
        <w:t>Manipulace :</w:t>
      </w:r>
      <w:proofErr w:type="gramEnd"/>
      <w:r w:rsidRPr="003539A7">
        <w:rPr>
          <w:sz w:val="22"/>
          <w:szCs w:val="22"/>
        </w:rPr>
        <w:t xml:space="preserve"> člověk jako "pán a vládce přírody"</w:t>
      </w:r>
    </w:p>
    <w:p w14:paraId="12374212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Odtržení člověka od světa, duše od těla. Úskalí Descartova dualismu. </w:t>
      </w:r>
    </w:p>
    <w:p w14:paraId="6CEE6123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Otázky princezny Alžběty ohledně podmíněnosti duševních stavů tělesnými dispozicemi. </w:t>
      </w:r>
    </w:p>
    <w:p w14:paraId="5DFBB5A6" w14:textId="77777777" w:rsidR="00E72EAF" w:rsidRDefault="00E72EAF" w:rsidP="00546E28">
      <w:pPr>
        <w:rPr>
          <w:b/>
          <w:sz w:val="22"/>
          <w:szCs w:val="22"/>
        </w:rPr>
      </w:pPr>
    </w:p>
    <w:p w14:paraId="207807DC" w14:textId="7A52607F" w:rsidR="00F02E20" w:rsidRPr="00DC611E" w:rsidRDefault="00000000" w:rsidP="00546E28">
      <w:pPr>
        <w:rPr>
          <w:b/>
          <w:sz w:val="22"/>
          <w:szCs w:val="22"/>
        </w:rPr>
      </w:pPr>
      <w:r w:rsidRPr="00DC611E">
        <w:rPr>
          <w:b/>
          <w:sz w:val="22"/>
          <w:szCs w:val="22"/>
        </w:rPr>
        <w:t>0</w:t>
      </w:r>
      <w:r w:rsidR="003539A7">
        <w:rPr>
          <w:b/>
          <w:sz w:val="22"/>
          <w:szCs w:val="22"/>
        </w:rPr>
        <w:t>8</w:t>
      </w:r>
      <w:r w:rsidRPr="00DC611E">
        <w:rPr>
          <w:b/>
          <w:sz w:val="22"/>
          <w:szCs w:val="22"/>
        </w:rPr>
        <w:t xml:space="preserve"> - Spinozova Etika jako </w:t>
      </w:r>
      <w:proofErr w:type="gramStart"/>
      <w:r w:rsidRPr="00DC611E">
        <w:rPr>
          <w:b/>
          <w:sz w:val="22"/>
          <w:szCs w:val="22"/>
        </w:rPr>
        <w:t>filosofický</w:t>
      </w:r>
      <w:proofErr w:type="gramEnd"/>
      <w:r w:rsidRPr="00DC611E">
        <w:rPr>
          <w:b/>
          <w:sz w:val="22"/>
          <w:szCs w:val="22"/>
        </w:rPr>
        <w:t xml:space="preserve"> výraz všeho, co jest   </w:t>
      </w:r>
    </w:p>
    <w:p w14:paraId="60D964C8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Důvody Spinozova ztotožnění Boha a Přírody (</w:t>
      </w:r>
      <w:r w:rsidRPr="003539A7">
        <w:rPr>
          <w:i/>
          <w:iCs/>
          <w:sz w:val="22"/>
          <w:szCs w:val="22"/>
        </w:rPr>
        <w:t>Deus sive Natura</w:t>
      </w:r>
      <w:r w:rsidRPr="003539A7">
        <w:rPr>
          <w:sz w:val="22"/>
          <w:szCs w:val="22"/>
        </w:rPr>
        <w:t>).</w:t>
      </w:r>
    </w:p>
    <w:p w14:paraId="0EFC2B25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Spinozova polemika s antropomorfismem a finalismem</w:t>
      </w:r>
    </w:p>
    <w:p w14:paraId="7B0FDFC9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Spinozovo monistické řešení vztahu mysli a těla</w:t>
      </w:r>
    </w:p>
    <w:p w14:paraId="2B092ED0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lastRenderedPageBreak/>
        <w:t>Jak je možné, aby doktrína popírající svobodnou vůli a pojímající člověka jako kauzálně determinovanou bytost měla za svůj cíl dosažení svobodného života?</w:t>
      </w:r>
    </w:p>
    <w:p w14:paraId="1A55A0BB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Iluze svobodné vůle</w:t>
      </w:r>
    </w:p>
    <w:p w14:paraId="7CCBB6CA" w14:textId="77777777" w:rsidR="00F02E20" w:rsidRPr="00DC611E" w:rsidRDefault="00F02E20" w:rsidP="00546E28">
      <w:pPr>
        <w:rPr>
          <w:sz w:val="22"/>
          <w:szCs w:val="22"/>
        </w:rPr>
      </w:pPr>
    </w:p>
    <w:p w14:paraId="2E3054D3" w14:textId="3135520B" w:rsidR="00F02E20" w:rsidRPr="00DC611E" w:rsidRDefault="00000000" w:rsidP="00546E28">
      <w:pPr>
        <w:rPr>
          <w:b/>
          <w:sz w:val="22"/>
          <w:szCs w:val="22"/>
        </w:rPr>
      </w:pPr>
      <w:r w:rsidRPr="00DC611E">
        <w:rPr>
          <w:b/>
          <w:sz w:val="22"/>
          <w:szCs w:val="22"/>
        </w:rPr>
        <w:t>0</w:t>
      </w:r>
      <w:r w:rsidR="003539A7">
        <w:rPr>
          <w:b/>
          <w:sz w:val="22"/>
          <w:szCs w:val="22"/>
        </w:rPr>
        <w:t>9</w:t>
      </w:r>
      <w:r w:rsidRPr="00DC611E">
        <w:rPr>
          <w:b/>
          <w:sz w:val="22"/>
          <w:szCs w:val="22"/>
        </w:rPr>
        <w:t xml:space="preserve"> - John Locke</w:t>
      </w:r>
      <w:r w:rsidR="003539A7">
        <w:rPr>
          <w:b/>
          <w:sz w:val="22"/>
          <w:szCs w:val="22"/>
        </w:rPr>
        <w:t xml:space="preserve"> a David </w:t>
      </w:r>
      <w:proofErr w:type="gramStart"/>
      <w:r w:rsidR="003539A7">
        <w:rPr>
          <w:b/>
          <w:sz w:val="22"/>
          <w:szCs w:val="22"/>
        </w:rPr>
        <w:t>Hume</w:t>
      </w:r>
      <w:r w:rsidRPr="00DC611E">
        <w:rPr>
          <w:b/>
          <w:sz w:val="22"/>
          <w:szCs w:val="22"/>
        </w:rPr>
        <w:t xml:space="preserve"> - Empirismus</w:t>
      </w:r>
      <w:proofErr w:type="gramEnd"/>
      <w:r w:rsidRPr="00DC611E">
        <w:rPr>
          <w:b/>
          <w:sz w:val="22"/>
          <w:szCs w:val="22"/>
        </w:rPr>
        <w:t xml:space="preserve"> vrací úder   </w:t>
      </w:r>
    </w:p>
    <w:p w14:paraId="731323C1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Spor o vrozené ideje</w:t>
      </w:r>
    </w:p>
    <w:p w14:paraId="404F8618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Hranice rozumového poznání a genealogická analýza složených idejí</w:t>
      </w:r>
    </w:p>
    <w:p w14:paraId="45D81E9C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Humova kritika pojmu kauzality</w:t>
      </w:r>
    </w:p>
    <w:p w14:paraId="0879DAE0" w14:textId="77777777" w:rsidR="00F02E20" w:rsidRPr="00DC611E" w:rsidRDefault="00F02E20" w:rsidP="00546E28">
      <w:pPr>
        <w:rPr>
          <w:sz w:val="22"/>
          <w:szCs w:val="22"/>
        </w:rPr>
      </w:pPr>
    </w:p>
    <w:p w14:paraId="17D8B87D" w14:textId="77777777" w:rsidR="00F02E20" w:rsidRPr="00DC611E" w:rsidRDefault="00F02E20" w:rsidP="00546E28">
      <w:pPr>
        <w:rPr>
          <w:sz w:val="22"/>
          <w:szCs w:val="22"/>
        </w:rPr>
      </w:pPr>
    </w:p>
    <w:p w14:paraId="702A5A97" w14:textId="77777777" w:rsidR="00F02E20" w:rsidRPr="00DC611E" w:rsidRDefault="00000000" w:rsidP="00546E28">
      <w:pPr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Pr="00DC611E">
        <w:rPr>
          <w:b/>
          <w:sz w:val="22"/>
          <w:szCs w:val="22"/>
        </w:rPr>
        <w:t xml:space="preserve"> - Osvícenské myšlenky v předvečer Revoluce   </w:t>
      </w:r>
    </w:p>
    <w:p w14:paraId="21D4CF4F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Idea pokroku a racionalizace</w:t>
      </w:r>
    </w:p>
    <w:p w14:paraId="7C21BFCB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Rozpory v uplatnění osvícenských myšlenek v praxi (Josef II. a Fridrich II. Veliký)</w:t>
      </w:r>
    </w:p>
    <w:p w14:paraId="35C7D47E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Myšlenka společenské smlouvy a přirozených lidských práv (Hobbes, Locke, Rousseau)</w:t>
      </w:r>
    </w:p>
    <w:p w14:paraId="4E2FC874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Občanská kontrola zneužití státní moci (Montesquieu a Voltaire)</w:t>
      </w:r>
    </w:p>
    <w:p w14:paraId="1A29EC73" w14:textId="77777777" w:rsidR="003539A7" w:rsidRPr="003539A7" w:rsidRDefault="003539A7" w:rsidP="003539A7">
      <w:pPr>
        <w:rPr>
          <w:sz w:val="22"/>
          <w:szCs w:val="22"/>
        </w:rPr>
      </w:pPr>
      <w:r w:rsidRPr="003539A7">
        <w:rPr>
          <w:sz w:val="22"/>
          <w:szCs w:val="22"/>
        </w:rPr>
        <w:t>Francouzská revoluce a úskalí osvícenského projektu</w:t>
      </w:r>
    </w:p>
    <w:p w14:paraId="763355C1" w14:textId="77777777" w:rsidR="00F02E20" w:rsidRPr="00DC611E" w:rsidRDefault="00000000" w:rsidP="00546E28">
      <w:pPr>
        <w:rPr>
          <w:sz w:val="22"/>
          <w:szCs w:val="22"/>
        </w:rPr>
      </w:pPr>
      <w:r w:rsidRPr="00DC611E">
        <w:rPr>
          <w:sz w:val="22"/>
          <w:szCs w:val="22"/>
        </w:rPr>
        <w:t xml:space="preserve">  </w:t>
      </w:r>
    </w:p>
    <w:p w14:paraId="60097A48" w14:textId="16210863" w:rsidR="003539A7" w:rsidRPr="003539A7" w:rsidRDefault="003539A7" w:rsidP="003539A7">
      <w:pPr>
        <w:rPr>
          <w:b/>
          <w:sz w:val="22"/>
          <w:szCs w:val="22"/>
        </w:rPr>
      </w:pPr>
      <w:r w:rsidRPr="003539A7">
        <w:rPr>
          <w:b/>
          <w:sz w:val="22"/>
          <w:szCs w:val="22"/>
        </w:rPr>
        <w:t xml:space="preserve">11 – Kantova kritická </w:t>
      </w:r>
      <w:proofErr w:type="gramStart"/>
      <w:r w:rsidRPr="003539A7">
        <w:rPr>
          <w:b/>
          <w:sz w:val="22"/>
          <w:szCs w:val="22"/>
        </w:rPr>
        <w:t>filosofie</w:t>
      </w:r>
      <w:proofErr w:type="gramEnd"/>
    </w:p>
    <w:p w14:paraId="156A422C" w14:textId="4ECB15A0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  <w:u w:val="single"/>
        </w:rPr>
        <w:t>Kritika čistého rozumu:</w:t>
      </w:r>
    </w:p>
    <w:p w14:paraId="28794610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</w:rPr>
        <w:t>Syntéza racionalismu a empirismu, poznání </w:t>
      </w:r>
      <w:r w:rsidRPr="003539A7">
        <w:rPr>
          <w:bCs/>
          <w:i/>
          <w:iCs/>
          <w:sz w:val="22"/>
          <w:szCs w:val="22"/>
        </w:rPr>
        <w:t>a priori</w:t>
      </w:r>
      <w:r w:rsidRPr="003539A7">
        <w:rPr>
          <w:bCs/>
          <w:sz w:val="22"/>
          <w:szCs w:val="22"/>
        </w:rPr>
        <w:t> a </w:t>
      </w:r>
      <w:r w:rsidRPr="003539A7">
        <w:rPr>
          <w:bCs/>
          <w:i/>
          <w:iCs/>
          <w:sz w:val="22"/>
          <w:szCs w:val="22"/>
        </w:rPr>
        <w:t>a posteriori</w:t>
      </w:r>
      <w:r w:rsidRPr="003539A7">
        <w:rPr>
          <w:bCs/>
          <w:sz w:val="22"/>
          <w:szCs w:val="22"/>
        </w:rPr>
        <w:t>.</w:t>
      </w:r>
    </w:p>
    <w:p w14:paraId="4F819081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</w:rPr>
        <w:t>Pojem „kopernikánský obrat“ v kontextu Kantovy </w:t>
      </w:r>
      <w:r w:rsidRPr="003539A7">
        <w:rPr>
          <w:bCs/>
          <w:i/>
          <w:iCs/>
          <w:sz w:val="22"/>
          <w:szCs w:val="22"/>
        </w:rPr>
        <w:t>Kritiky čistého rozumu</w:t>
      </w:r>
      <w:r w:rsidRPr="003539A7">
        <w:rPr>
          <w:bCs/>
          <w:sz w:val="22"/>
          <w:szCs w:val="22"/>
        </w:rPr>
        <w:t>.</w:t>
      </w:r>
    </w:p>
    <w:p w14:paraId="389183A6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</w:rPr>
        <w:t>Hranice metafyziky – antinomie čistého rozumu</w:t>
      </w:r>
    </w:p>
    <w:p w14:paraId="41744887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  <w:u w:val="single"/>
        </w:rPr>
        <w:t>Kritika praktického rozumu:</w:t>
      </w:r>
    </w:p>
    <w:p w14:paraId="250F38FD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</w:rPr>
        <w:t>Hypotetický a kategorický imperativ</w:t>
      </w:r>
    </w:p>
    <w:p w14:paraId="540A027F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</w:rPr>
        <w:t>Jednání ve shodě s povinností a z povinnosti</w:t>
      </w:r>
    </w:p>
    <w:p w14:paraId="1F0EB202" w14:textId="77777777" w:rsidR="003539A7" w:rsidRPr="003539A7" w:rsidRDefault="003539A7" w:rsidP="003539A7">
      <w:pPr>
        <w:rPr>
          <w:bCs/>
          <w:sz w:val="22"/>
          <w:szCs w:val="22"/>
        </w:rPr>
      </w:pPr>
      <w:r w:rsidRPr="003539A7">
        <w:rPr>
          <w:bCs/>
          <w:sz w:val="22"/>
          <w:szCs w:val="22"/>
        </w:rPr>
        <w:t>Význam úmyslu z hlediska motivace mravního jednání</w:t>
      </w:r>
    </w:p>
    <w:p w14:paraId="4F6033A0" w14:textId="3E74799D" w:rsidR="00F02E20" w:rsidRPr="003539A7" w:rsidRDefault="00F02E20" w:rsidP="003539A7">
      <w:pPr>
        <w:rPr>
          <w:bCs/>
          <w:sz w:val="22"/>
          <w:szCs w:val="22"/>
        </w:rPr>
      </w:pPr>
    </w:p>
    <w:sectPr w:rsidR="00F02E20" w:rsidRPr="003539A7" w:rsidSect="000B4EF1">
      <w:footerReference w:type="even" r:id="rId9"/>
      <w:footerReference w:type="default" r:id="rId10"/>
      <w:pgSz w:w="11907" w:h="16840"/>
      <w:pgMar w:top="1418" w:right="1418" w:bottom="1418" w:left="1418" w:header="737" w:footer="96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012C" w14:textId="77777777" w:rsidR="00CB4D77" w:rsidRDefault="00CB4D77">
      <w:r>
        <w:separator/>
      </w:r>
    </w:p>
  </w:endnote>
  <w:endnote w:type="continuationSeparator" w:id="0">
    <w:p w14:paraId="4A7670BE" w14:textId="77777777" w:rsidR="00CB4D77" w:rsidRDefault="00CB4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reek Platon ISW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E473" w14:textId="77777777" w:rsidR="00F02E20" w:rsidRDefault="0000000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A59F888" w14:textId="77777777" w:rsidR="00F02E20" w:rsidRDefault="00F02E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AFE9" w14:textId="77777777" w:rsidR="00F02E20" w:rsidRDefault="0000000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3</w:t>
    </w:r>
    <w:r>
      <w:rPr>
        <w:rStyle w:val="slostrnky"/>
      </w:rPr>
      <w:fldChar w:fldCharType="end"/>
    </w:r>
  </w:p>
  <w:p w14:paraId="2A8B67D2" w14:textId="77777777" w:rsidR="00F02E20" w:rsidRDefault="00F02E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B8ABF" w14:textId="77777777" w:rsidR="00CB4D77" w:rsidRDefault="00CB4D77">
      <w:r>
        <w:separator/>
      </w:r>
    </w:p>
  </w:footnote>
  <w:footnote w:type="continuationSeparator" w:id="0">
    <w:p w14:paraId="0E4B2389" w14:textId="77777777" w:rsidR="00CB4D77" w:rsidRDefault="00CB4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15477"/>
    <w:multiLevelType w:val="hybridMultilevel"/>
    <w:tmpl w:val="31BA11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334C2"/>
    <w:multiLevelType w:val="hybridMultilevel"/>
    <w:tmpl w:val="880A4BC8"/>
    <w:lvl w:ilvl="0" w:tplc="897E0AB8">
      <w:start w:val="1"/>
      <w:numFmt w:val="decimal"/>
      <w:lvlText w:val="%1."/>
      <w:lvlJc w:val="left"/>
      <w:pPr>
        <w:ind w:left="720" w:hanging="360"/>
      </w:pPr>
    </w:lvl>
    <w:lvl w:ilvl="1" w:tplc="6EA4FA4C">
      <w:start w:val="1"/>
      <w:numFmt w:val="decimal"/>
      <w:lvlText w:val="%2."/>
      <w:lvlJc w:val="left"/>
      <w:pPr>
        <w:ind w:left="1440" w:hanging="1080"/>
      </w:pPr>
    </w:lvl>
    <w:lvl w:ilvl="2" w:tplc="D6FC1250">
      <w:start w:val="1"/>
      <w:numFmt w:val="decimal"/>
      <w:lvlText w:val="%3."/>
      <w:lvlJc w:val="left"/>
      <w:pPr>
        <w:ind w:left="2160" w:hanging="1980"/>
      </w:pPr>
    </w:lvl>
    <w:lvl w:ilvl="3" w:tplc="CB1EB704">
      <w:start w:val="1"/>
      <w:numFmt w:val="decimal"/>
      <w:lvlText w:val="%4."/>
      <w:lvlJc w:val="left"/>
      <w:pPr>
        <w:ind w:left="2880" w:hanging="2520"/>
      </w:pPr>
    </w:lvl>
    <w:lvl w:ilvl="4" w:tplc="82600468">
      <w:start w:val="1"/>
      <w:numFmt w:val="decimal"/>
      <w:lvlText w:val="%5."/>
      <w:lvlJc w:val="left"/>
      <w:pPr>
        <w:ind w:left="3600" w:hanging="3240"/>
      </w:pPr>
    </w:lvl>
    <w:lvl w:ilvl="5" w:tplc="542A24C0">
      <w:start w:val="1"/>
      <w:numFmt w:val="decimal"/>
      <w:lvlText w:val="%6."/>
      <w:lvlJc w:val="left"/>
      <w:pPr>
        <w:ind w:left="4320" w:hanging="4140"/>
      </w:pPr>
    </w:lvl>
    <w:lvl w:ilvl="6" w:tplc="5A7A97F8">
      <w:start w:val="1"/>
      <w:numFmt w:val="decimal"/>
      <w:lvlText w:val="%7."/>
      <w:lvlJc w:val="left"/>
      <w:pPr>
        <w:ind w:left="5040" w:hanging="4680"/>
      </w:pPr>
    </w:lvl>
    <w:lvl w:ilvl="7" w:tplc="70FC0E36">
      <w:start w:val="1"/>
      <w:numFmt w:val="decimal"/>
      <w:lvlText w:val="%8."/>
      <w:lvlJc w:val="left"/>
      <w:pPr>
        <w:ind w:left="5760" w:hanging="5400"/>
      </w:pPr>
    </w:lvl>
    <w:lvl w:ilvl="8" w:tplc="9D16EFA2">
      <w:start w:val="1"/>
      <w:numFmt w:val="decimal"/>
      <w:lvlText w:val="%9."/>
      <w:lvlJc w:val="left"/>
      <w:pPr>
        <w:ind w:left="6480" w:hanging="6300"/>
      </w:pPr>
    </w:lvl>
  </w:abstractNum>
  <w:num w:numId="1" w16cid:durableId="1096487954">
    <w:abstractNumId w:val="0"/>
  </w:num>
  <w:num w:numId="2" w16cid:durableId="735862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29B"/>
    <w:rsid w:val="00045104"/>
    <w:rsid w:val="00052007"/>
    <w:rsid w:val="002708D6"/>
    <w:rsid w:val="003539A7"/>
    <w:rsid w:val="00521D8E"/>
    <w:rsid w:val="00534C6E"/>
    <w:rsid w:val="00584F6A"/>
    <w:rsid w:val="00741600"/>
    <w:rsid w:val="008B337F"/>
    <w:rsid w:val="009111BA"/>
    <w:rsid w:val="00C35B94"/>
    <w:rsid w:val="00CB4D77"/>
    <w:rsid w:val="00CE1CF0"/>
    <w:rsid w:val="00D92388"/>
    <w:rsid w:val="00DB4FBD"/>
    <w:rsid w:val="00E72EAF"/>
    <w:rsid w:val="00EE529B"/>
    <w:rsid w:val="00F02E20"/>
    <w:rsid w:val="00F1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D5593"/>
  <w15:chartTrackingRefBased/>
  <w15:docId w15:val="{BF5A8439-863A-4A99-BDA0-76F67581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</w:style>
  <w:style w:type="paragraph" w:styleId="Nadpis1">
    <w:name w:val="heading 1"/>
    <w:basedOn w:val="Normln"/>
    <w:pPr>
      <w:spacing w:before="480"/>
      <w:outlineLvl w:val="0"/>
    </w:pPr>
    <w:rPr>
      <w:b/>
      <w:color w:val="345A8A"/>
      <w:sz w:val="32"/>
    </w:rPr>
  </w:style>
  <w:style w:type="paragraph" w:styleId="Nadpis2">
    <w:name w:val="heading 2"/>
    <w:basedOn w:val="Normln"/>
    <w:pPr>
      <w:spacing w:before="200"/>
      <w:outlineLvl w:val="1"/>
    </w:pPr>
    <w:rPr>
      <w:b/>
      <w:color w:val="4F81BD"/>
      <w:sz w:val="26"/>
    </w:rPr>
  </w:style>
  <w:style w:type="paragraph" w:styleId="Nadpis3">
    <w:name w:val="heading 3"/>
    <w:basedOn w:val="Normln"/>
    <w:pPr>
      <w:spacing w:before="200"/>
      <w:outlineLvl w:val="2"/>
    </w:pPr>
    <w:rPr>
      <w:b/>
      <w:color w:val="4F81BD"/>
      <w:sz w:val="24"/>
    </w:rPr>
  </w:style>
  <w:style w:type="paragraph" w:styleId="Nadpis4">
    <w:name w:val="heading 4"/>
    <w:basedOn w:val="Normln"/>
    <w:next w:val="Normln"/>
    <w:autoRedefine/>
    <w:qFormat/>
    <w:rsid w:val="004B0780"/>
    <w:pPr>
      <w:keepNext/>
      <w:spacing w:before="480" w:after="240"/>
      <w:ind w:firstLine="737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4B0780"/>
    <w:pPr>
      <w:keepNext/>
      <w:spacing w:before="480" w:after="120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0B4EF1"/>
    <w:pPr>
      <w:keepNext/>
      <w:spacing w:before="120"/>
      <w:outlineLvl w:val="5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0B4EF1"/>
  </w:style>
  <w:style w:type="paragraph" w:styleId="Zpat">
    <w:name w:val="footer"/>
    <w:basedOn w:val="Normln"/>
    <w:rsid w:val="000B4EF1"/>
    <w:pPr>
      <w:tabs>
        <w:tab w:val="right" w:pos="8675"/>
      </w:tabs>
    </w:pPr>
  </w:style>
  <w:style w:type="paragraph" w:styleId="Zhlav">
    <w:name w:val="header"/>
    <w:basedOn w:val="Normln"/>
    <w:rsid w:val="000B4EF1"/>
    <w:pPr>
      <w:tabs>
        <w:tab w:val="center" w:pos="4536"/>
        <w:tab w:val="right" w:pos="9072"/>
      </w:tabs>
    </w:pPr>
  </w:style>
  <w:style w:type="paragraph" w:customStyle="1" w:styleId="bibliografie">
    <w:name w:val="bibliografie"/>
    <w:basedOn w:val="Normln"/>
    <w:rsid w:val="000B4EF1"/>
    <w:pPr>
      <w:keepLines/>
      <w:spacing w:after="120"/>
      <w:ind w:left="851" w:hanging="851"/>
    </w:pPr>
    <w:rPr>
      <w:lang w:val="de-DE"/>
    </w:rPr>
  </w:style>
  <w:style w:type="paragraph" w:customStyle="1" w:styleId="dankavpjky">
    <w:name w:val="žádanka výpůjčky"/>
    <w:basedOn w:val="Normln"/>
    <w:rsid w:val="000B4EF1"/>
  </w:style>
  <w:style w:type="paragraph" w:customStyle="1" w:styleId="doktort">
    <w:name w:val="doktorát"/>
    <w:basedOn w:val="Normln"/>
    <w:rsid w:val="000B4EF1"/>
    <w:pPr>
      <w:spacing w:line="360" w:lineRule="auto"/>
    </w:pPr>
  </w:style>
  <w:style w:type="paragraph" w:customStyle="1" w:styleId="citace">
    <w:name w:val="citace"/>
    <w:basedOn w:val="Normln"/>
    <w:next w:val="Normln"/>
    <w:rsid w:val="000B4EF1"/>
    <w:pPr>
      <w:spacing w:before="120" w:after="120"/>
      <w:ind w:left="737" w:right="737"/>
    </w:pPr>
  </w:style>
  <w:style w:type="paragraph" w:customStyle="1" w:styleId="nromln-citace">
    <w:name w:val="nromální - citace"/>
    <w:basedOn w:val="Normln"/>
    <w:rsid w:val="000B4EF1"/>
    <w:pPr>
      <w:spacing w:before="120" w:after="120"/>
      <w:ind w:left="454" w:right="454"/>
    </w:pPr>
  </w:style>
  <w:style w:type="paragraph" w:customStyle="1" w:styleId="normln-citacenmina">
    <w:name w:val="normální - citace němčina"/>
    <w:basedOn w:val="nromln-citace"/>
    <w:rsid w:val="000B4EF1"/>
    <w:pPr>
      <w:ind w:left="737" w:right="737"/>
    </w:pPr>
    <w:rPr>
      <w:lang w:val="de-DE"/>
    </w:rPr>
  </w:style>
  <w:style w:type="paragraph" w:customStyle="1" w:styleId="normln-citaceetina">
    <w:name w:val="normální - citace čeština"/>
    <w:basedOn w:val="Normln"/>
    <w:rsid w:val="000B4EF1"/>
    <w:pPr>
      <w:spacing w:before="120" w:after="120"/>
      <w:ind w:left="737" w:right="737"/>
    </w:pPr>
  </w:style>
  <w:style w:type="paragraph" w:customStyle="1" w:styleId="normlnvycentrovan">
    <w:name w:val="normální vycentrovaný"/>
    <w:basedOn w:val="Normln"/>
    <w:rsid w:val="000B4EF1"/>
    <w:pPr>
      <w:jc w:val="center"/>
    </w:pPr>
  </w:style>
  <w:style w:type="paragraph" w:styleId="Adresanaoblku">
    <w:name w:val="envelope address"/>
    <w:basedOn w:val="Normln"/>
    <w:rsid w:val="000B4EF1"/>
    <w:pPr>
      <w:framePr w:w="7920" w:h="1980" w:hRule="exact" w:hSpace="141" w:wrap="auto" w:hAnchor="page" w:xAlign="center" w:yAlign="bottom"/>
      <w:ind w:left="2880"/>
    </w:pPr>
  </w:style>
  <w:style w:type="paragraph" w:styleId="Obsah3">
    <w:name w:val="toc 3"/>
    <w:basedOn w:val="Normln"/>
    <w:next w:val="Normln"/>
    <w:semiHidden/>
    <w:rsid w:val="000B4EF1"/>
    <w:pPr>
      <w:tabs>
        <w:tab w:val="right" w:leader="dot" w:pos="8730"/>
      </w:tabs>
      <w:ind w:left="1247"/>
    </w:pPr>
  </w:style>
  <w:style w:type="paragraph" w:styleId="Obsah4">
    <w:name w:val="toc 4"/>
    <w:basedOn w:val="Normln"/>
    <w:next w:val="Normln"/>
    <w:semiHidden/>
    <w:rsid w:val="000B4EF1"/>
    <w:pPr>
      <w:tabs>
        <w:tab w:val="right" w:leader="dot" w:pos="8730"/>
      </w:tabs>
      <w:ind w:left="1758"/>
    </w:pPr>
  </w:style>
  <w:style w:type="paragraph" w:styleId="Obsah5">
    <w:name w:val="toc 5"/>
    <w:basedOn w:val="Normln"/>
    <w:next w:val="Normln"/>
    <w:autoRedefine/>
    <w:semiHidden/>
    <w:rsid w:val="00E47D11"/>
    <w:pPr>
      <w:ind w:left="1134"/>
    </w:pPr>
  </w:style>
  <w:style w:type="paragraph" w:styleId="Obsah6">
    <w:name w:val="toc 6"/>
    <w:basedOn w:val="Normln"/>
    <w:next w:val="Normln"/>
    <w:semiHidden/>
    <w:rsid w:val="000B4EF1"/>
    <w:pPr>
      <w:tabs>
        <w:tab w:val="right" w:leader="dot" w:pos="8730"/>
      </w:tabs>
      <w:ind w:left="960"/>
    </w:pPr>
  </w:style>
  <w:style w:type="paragraph" w:customStyle="1" w:styleId="seznamknih">
    <w:name w:val="seznam knih"/>
    <w:basedOn w:val="Normln"/>
    <w:rsid w:val="000B4EF1"/>
    <w:pPr>
      <w:tabs>
        <w:tab w:val="left" w:pos="3686"/>
      </w:tabs>
      <w:spacing w:before="240"/>
      <w:ind w:left="3686" w:hanging="3686"/>
    </w:pPr>
  </w:style>
  <w:style w:type="paragraph" w:customStyle="1" w:styleId="nadpismuj">
    <w:name w:val="nadpis muj"/>
    <w:basedOn w:val="Normln"/>
    <w:next w:val="Normln"/>
    <w:rsid w:val="000B4EF1"/>
    <w:pPr>
      <w:jc w:val="center"/>
    </w:pPr>
    <w:rPr>
      <w:b/>
    </w:rPr>
  </w:style>
  <w:style w:type="paragraph" w:customStyle="1" w:styleId="poznmky">
    <w:name w:val="poznámky"/>
    <w:basedOn w:val="Normln"/>
    <w:rsid w:val="000B4EF1"/>
  </w:style>
  <w:style w:type="paragraph" w:styleId="Obsah1">
    <w:name w:val="toc 1"/>
    <w:basedOn w:val="Normln"/>
    <w:next w:val="Normln"/>
    <w:semiHidden/>
    <w:rsid w:val="000B4EF1"/>
    <w:pPr>
      <w:tabs>
        <w:tab w:val="right" w:leader="dot" w:pos="8730"/>
      </w:tabs>
      <w:spacing w:before="360"/>
    </w:pPr>
    <w:rPr>
      <w:b/>
      <w:sz w:val="28"/>
    </w:rPr>
  </w:style>
  <w:style w:type="paragraph" w:styleId="Obsah2">
    <w:name w:val="toc 2"/>
    <w:basedOn w:val="Normln"/>
    <w:next w:val="Normln"/>
    <w:semiHidden/>
    <w:rsid w:val="000B4EF1"/>
    <w:pPr>
      <w:tabs>
        <w:tab w:val="right" w:leader="dot" w:pos="8730"/>
      </w:tabs>
      <w:spacing w:before="120"/>
      <w:ind w:left="238"/>
    </w:pPr>
    <w:rPr>
      <w:b/>
    </w:rPr>
  </w:style>
  <w:style w:type="character" w:customStyle="1" w:styleId="Styl1">
    <w:name w:val="Styl1"/>
    <w:basedOn w:val="Standardnpsmoodstavce"/>
    <w:rsid w:val="000B4EF1"/>
    <w:rPr>
      <w:smallCaps/>
    </w:rPr>
  </w:style>
  <w:style w:type="paragraph" w:customStyle="1" w:styleId="vykink">
    <w:name w:val="vykřičník"/>
    <w:basedOn w:val="Normln"/>
    <w:next w:val="vykink2"/>
    <w:rsid w:val="000B4EF1"/>
    <w:pPr>
      <w:ind w:left="284" w:hanging="284"/>
    </w:pPr>
  </w:style>
  <w:style w:type="paragraph" w:customStyle="1" w:styleId="vykink2">
    <w:name w:val="vykřičník2"/>
    <w:basedOn w:val="vykink"/>
    <w:rsid w:val="000B4EF1"/>
    <w:pPr>
      <w:ind w:firstLine="567"/>
    </w:pPr>
  </w:style>
  <w:style w:type="character" w:customStyle="1" w:styleId="Styl2">
    <w:name w:val="Styl2"/>
    <w:basedOn w:val="Standardnpsmoodstavce"/>
    <w:rsid w:val="000B4EF1"/>
    <w:rPr>
      <w:spacing w:val="40"/>
    </w:rPr>
  </w:style>
  <w:style w:type="character" w:customStyle="1" w:styleId="proloen">
    <w:name w:val="proloženě"/>
    <w:basedOn w:val="Standardnpsmoodstavce"/>
    <w:rsid w:val="000B4EF1"/>
    <w:rPr>
      <w:spacing w:val="40"/>
    </w:rPr>
  </w:style>
  <w:style w:type="paragraph" w:customStyle="1" w:styleId="nmina">
    <w:name w:val="němčina"/>
    <w:basedOn w:val="Normln"/>
    <w:rsid w:val="000B4EF1"/>
    <w:rPr>
      <w:lang w:val="de-DE"/>
    </w:rPr>
  </w:style>
  <w:style w:type="paragraph" w:customStyle="1" w:styleId="motto-nemcina">
    <w:name w:val="motto-nemcina"/>
    <w:basedOn w:val="normln-citacenmina"/>
    <w:next w:val="Normln"/>
    <w:rsid w:val="000B4EF1"/>
    <w:pPr>
      <w:keepNext/>
      <w:keepLines/>
      <w:jc w:val="center"/>
    </w:pPr>
    <w:rPr>
      <w:i/>
    </w:rPr>
  </w:style>
  <w:style w:type="character" w:customStyle="1" w:styleId="standartnkurziva">
    <w:name w:val="standartní kurziva"/>
    <w:basedOn w:val="Standardnpsmoodstavce"/>
    <w:rsid w:val="000B4EF1"/>
    <w:rPr>
      <w:i/>
      <w:sz w:val="24"/>
    </w:rPr>
  </w:style>
  <w:style w:type="character" w:styleId="Odkaznakoment">
    <w:name w:val="annotation reference"/>
    <w:basedOn w:val="Standardnpsmoodstavce"/>
    <w:semiHidden/>
    <w:rsid w:val="000B4EF1"/>
    <w:rPr>
      <w:vanish/>
      <w:sz w:val="16"/>
    </w:rPr>
  </w:style>
  <w:style w:type="paragraph" w:customStyle="1" w:styleId="bibliografiedoktortu">
    <w:name w:val="bibliografiedoktorátu"/>
    <w:basedOn w:val="Normln"/>
    <w:rsid w:val="000B4EF1"/>
    <w:pPr>
      <w:spacing w:after="120"/>
      <w:ind w:left="567" w:hanging="567"/>
    </w:pPr>
  </w:style>
  <w:style w:type="paragraph" w:customStyle="1" w:styleId="hra">
    <w:name w:val="hra"/>
    <w:basedOn w:val="Normln"/>
    <w:rsid w:val="000B4EF1"/>
    <w:pPr>
      <w:spacing w:after="120"/>
      <w:ind w:left="1361" w:hanging="1361"/>
    </w:pPr>
  </w:style>
  <w:style w:type="paragraph" w:styleId="Textpoznpodarou">
    <w:name w:val="footnote text"/>
    <w:basedOn w:val="Normln"/>
    <w:semiHidden/>
    <w:rsid w:val="000B4EF1"/>
    <w:pPr>
      <w:ind w:firstLine="709"/>
    </w:pPr>
  </w:style>
  <w:style w:type="paragraph" w:customStyle="1" w:styleId="Odstavceseznamu">
    <w:name w:val="Odstavce seznamu"/>
    <w:basedOn w:val="Normln"/>
    <w:rsid w:val="000B4EF1"/>
    <w:pPr>
      <w:ind w:left="397" w:hanging="397"/>
    </w:pPr>
  </w:style>
  <w:style w:type="paragraph" w:customStyle="1" w:styleId="ecktext">
    <w:name w:val="řecký text"/>
    <w:basedOn w:val="Normln"/>
    <w:rsid w:val="000B4EF1"/>
    <w:pPr>
      <w:spacing w:before="60"/>
      <w:ind w:left="907" w:hanging="340"/>
    </w:pPr>
    <w:rPr>
      <w:rFonts w:ascii="Greek Platon ISW" w:hAnsi="Greek Platon ISW"/>
    </w:rPr>
  </w:style>
  <w:style w:type="character" w:customStyle="1" w:styleId="StylE-mailovZprvy501">
    <w:name w:val="StylE-mailovéZprávy501"/>
    <w:basedOn w:val="Standardnpsmoodstavce"/>
    <w:rsid w:val="000B4EF1"/>
    <w:rPr>
      <w:rFonts w:ascii="Arial" w:hAnsi="Arial" w:cs="Arial"/>
      <w:color w:val="auto"/>
      <w:sz w:val="20"/>
    </w:rPr>
  </w:style>
  <w:style w:type="character" w:customStyle="1" w:styleId="StylE-mailovZprvy511">
    <w:name w:val="StylE-mailovéZprávy511"/>
    <w:basedOn w:val="Standardnpsmoodstavce"/>
    <w:rsid w:val="000B4EF1"/>
    <w:rPr>
      <w:rFonts w:ascii="Arial" w:hAnsi="Arial" w:cs="Arial"/>
      <w:color w:val="auto"/>
      <w:sz w:val="20"/>
    </w:rPr>
  </w:style>
  <w:style w:type="paragraph" w:customStyle="1" w:styleId="Normlnbezodsazen">
    <w:name w:val="Normální bez odsazení"/>
    <w:basedOn w:val="Normln"/>
    <w:rsid w:val="000B4EF1"/>
  </w:style>
  <w:style w:type="paragraph" w:customStyle="1" w:styleId="Hospiz">
    <w:name w:val="Hospiz"/>
    <w:basedOn w:val="Normln"/>
    <w:autoRedefine/>
    <w:rsid w:val="002519CD"/>
    <w:pPr>
      <w:spacing w:after="120"/>
      <w:ind w:left="567" w:firstLine="964"/>
    </w:pPr>
  </w:style>
  <w:style w:type="paragraph" w:styleId="Odstavecseseznamem">
    <w:name w:val="List Paragraph"/>
    <w:basedOn w:val="Normln"/>
    <w:uiPriority w:val="34"/>
    <w:qFormat/>
    <w:rsid w:val="00870C56"/>
    <w:pPr>
      <w:ind w:left="720"/>
      <w:contextualSpacing/>
    </w:pPr>
  </w:style>
  <w:style w:type="character" w:styleId="Hypertextovodkaz">
    <w:name w:val="Hyperlink"/>
    <w:basedOn w:val="Standardnpsmoodstavce"/>
    <w:unhideWhenUsed/>
    <w:rsid w:val="00546E28"/>
    <w:rPr>
      <w:color w:val="0000FF"/>
      <w:u w:val="single"/>
    </w:rPr>
  </w:style>
  <w:style w:type="character" w:styleId="Sledovanodkaz">
    <w:name w:val="FollowedHyperlink"/>
    <w:basedOn w:val="Standardnpsmoodstavce"/>
    <w:semiHidden/>
    <w:unhideWhenUsed/>
    <w:rsid w:val="00A71827"/>
    <w:rPr>
      <w:color w:val="800080"/>
      <w:u w:val="single"/>
    </w:rPr>
  </w:style>
  <w:style w:type="paragraph" w:styleId="Nzev">
    <w:name w:val="Title"/>
    <w:basedOn w:val="Normln"/>
    <w:pPr>
      <w:spacing w:after="300"/>
    </w:pPr>
    <w:rPr>
      <w:color w:val="17365D"/>
      <w:sz w:val="52"/>
    </w:rPr>
  </w:style>
  <w:style w:type="paragraph" w:styleId="Podnadpis">
    <w:name w:val="Subtitle"/>
    <w:basedOn w:val="Normln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4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525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417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2283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5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95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03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4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09667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95027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654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7165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4583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90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8863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38781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1656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999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1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4378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67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20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5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94818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398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87387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7401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085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8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09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3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44930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5783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57277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52498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6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25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61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7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0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25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7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5487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01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42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5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7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03126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8618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7171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46403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45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55101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1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45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8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26952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8630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7214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955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45730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4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8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7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9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3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99323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6858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9695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5278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8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54462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13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757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8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0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5730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4907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6995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6172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458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7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71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9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6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15261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8217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501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7907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1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1665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1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13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0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4614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492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603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78446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1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5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2449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32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874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2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60876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1523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5161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2294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1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086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2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888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1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52113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11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760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264917798">
                      <w:marLeft w:val="0"/>
                      <w:marRight w:val="0"/>
                      <w:marTop w:val="0"/>
                      <w:marBottom w:val="375"/>
                      <w:divBdr>
                        <w:top w:val="single" w:sz="6" w:space="8" w:color="BCE8F1"/>
                        <w:left w:val="single" w:sz="6" w:space="15" w:color="BCE8F1"/>
                        <w:bottom w:val="single" w:sz="6" w:space="8" w:color="BCE8F1"/>
                        <w:right w:val="single" w:sz="6" w:space="15" w:color="BCE8F1"/>
                      </w:divBdr>
                    </w:div>
                  </w:divsChild>
                </w:div>
              </w:divsChild>
            </w:div>
            <w:div w:id="19180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0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5295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58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3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3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9445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127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313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0415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6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9642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64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6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96114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447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56625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20813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9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55893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54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22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0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14480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9623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30666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3798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0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23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29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07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07844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498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00237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0945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3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12317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9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23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6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5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29840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6728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5934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3512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02287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05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32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2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91334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5778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225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896891943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9489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single" w:sz="6" w:space="8" w:color="BCE8F1"/>
                            <w:left w:val="single" w:sz="6" w:space="15" w:color="BCE8F1"/>
                            <w:bottom w:val="single" w:sz="6" w:space="8" w:color="BCE8F1"/>
                            <w:right w:val="single" w:sz="6" w:space="15" w:color="BCE8F1"/>
                          </w:divBdr>
                        </w:div>
                      </w:divsChild>
                    </w:div>
                  </w:divsChild>
                </w:div>
              </w:divsChild>
            </w:div>
            <w:div w:id="10177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5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57207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97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73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4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41943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3595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460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</w:divsChild>
        </w:div>
      </w:divsChild>
    </w:div>
    <w:div w:id="1142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279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34738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555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212029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5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7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47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31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3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7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86029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681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4946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02539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9585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60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0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46275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3341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179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7545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1771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55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0844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238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429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9083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33377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9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99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6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69495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210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32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5892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5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75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3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46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69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54372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18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6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0628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413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1031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926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3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201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23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09560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2752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1445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9824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1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42319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2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397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9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3313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398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9874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8033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1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2592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78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39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6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9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97037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256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679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7925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97580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79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46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5104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726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9726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6576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7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23153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2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944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8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5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4529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4259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2447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2370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2315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62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3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58146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7945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1434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9661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9000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50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96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5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2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97034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051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5034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2053193687">
                      <w:marLeft w:val="0"/>
                      <w:marRight w:val="0"/>
                      <w:marTop w:val="0"/>
                      <w:marBottom w:val="375"/>
                      <w:divBdr>
                        <w:top w:val="single" w:sz="6" w:space="8" w:color="BCE8F1"/>
                        <w:left w:val="single" w:sz="6" w:space="15" w:color="BCE8F1"/>
                        <w:bottom w:val="single" w:sz="6" w:space="8" w:color="BCE8F1"/>
                        <w:right w:val="single" w:sz="6" w:space="15" w:color="BCE8F1"/>
                      </w:divBdr>
                    </w:div>
                  </w:divsChild>
                </w:div>
              </w:divsChild>
            </w:div>
            <w:div w:id="7109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0034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4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97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5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0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77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05727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571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80404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833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5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08024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74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70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2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2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39623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9851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6916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972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0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2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408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69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1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0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13723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298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225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0715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83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0343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51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51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9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8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10704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698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168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6987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834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4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29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6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66075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530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459754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0160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7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57969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4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58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2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1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34534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70353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5195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583488983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060594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single" w:sz="6" w:space="8" w:color="BCE8F1"/>
                            <w:left w:val="single" w:sz="6" w:space="15" w:color="BCE8F1"/>
                            <w:bottom w:val="single" w:sz="6" w:space="8" w:color="BCE8F1"/>
                            <w:right w:val="single" w:sz="6" w:space="15" w:color="BCE8F1"/>
                          </w:divBdr>
                        </w:div>
                      </w:divsChild>
                    </w:div>
                  </w:divsChild>
                </w:div>
              </w:divsChild>
            </w:div>
            <w:div w:id="1630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7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9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050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19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21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9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1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17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636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76419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</w:divsChild>
        </w:div>
      </w:divsChild>
    </w:div>
    <w:div w:id="12286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6667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8075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4564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6606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0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75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0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5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3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2214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8208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4405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47005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2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35894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96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28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0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8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41232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48993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879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50289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1082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24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6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4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57849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547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60077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3067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1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0668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37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31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1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42706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8336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4961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9516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1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2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0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86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90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8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9128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75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82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3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0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97738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915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4418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8541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299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26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52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80820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37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68806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647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8723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93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439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2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9812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8903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4693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1277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1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0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6942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85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0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8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4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03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4866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492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24825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6482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8817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79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8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1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13596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30411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2149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3809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0982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06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540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2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8054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37524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65059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4591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2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5012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37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1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8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0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7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74749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371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6003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2925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0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7699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15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77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0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88649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6197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0515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153566829">
                      <w:marLeft w:val="0"/>
                      <w:marRight w:val="0"/>
                      <w:marTop w:val="0"/>
                      <w:marBottom w:val="375"/>
                      <w:divBdr>
                        <w:top w:val="single" w:sz="6" w:space="8" w:color="BCE8F1"/>
                        <w:left w:val="single" w:sz="6" w:space="15" w:color="BCE8F1"/>
                        <w:bottom w:val="single" w:sz="6" w:space="8" w:color="BCE8F1"/>
                        <w:right w:val="single" w:sz="6" w:space="15" w:color="BCE8F1"/>
                      </w:divBdr>
                    </w:div>
                  </w:divsChild>
                </w:div>
              </w:divsChild>
            </w:div>
            <w:div w:id="4362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2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8828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07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8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0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8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74232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026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10354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69168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25369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1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06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9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28496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140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86650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971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95570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9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720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5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2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2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3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89344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1776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77712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4355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2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0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6991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61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5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60526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0152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03927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15722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5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32738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36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83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1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64533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41411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3189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  <w:div w:id="6108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233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56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18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3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76704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3805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24559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  <w:divsChild>
                    <w:div w:id="1212419682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1496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single" w:sz="6" w:space="8" w:color="BCE8F1"/>
                            <w:left w:val="single" w:sz="6" w:space="15" w:color="BCE8F1"/>
                            <w:bottom w:val="single" w:sz="6" w:space="8" w:color="BCE8F1"/>
                            <w:right w:val="single" w:sz="6" w:space="15" w:color="BCE8F1"/>
                          </w:divBdr>
                        </w:div>
                      </w:divsChild>
                    </w:div>
                  </w:divsChild>
                </w:div>
              </w:divsChild>
            </w:div>
            <w:div w:id="114002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8940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2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45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4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6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84848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89312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32916">
                  <w:marLeft w:val="0"/>
                  <w:marRight w:val="0"/>
                  <w:marTop w:val="0"/>
                  <w:marBottom w:val="375"/>
                  <w:divBdr>
                    <w:top w:val="single" w:sz="6" w:space="8" w:color="BCE8F1"/>
                    <w:left w:val="single" w:sz="6" w:space="15" w:color="BCE8F1"/>
                    <w:bottom w:val="single" w:sz="6" w:space="8" w:color="BCE8F1"/>
                    <w:right w:val="single" w:sz="6" w:space="15" w:color="BCE8F1"/>
                  </w:divBdr>
                </w:div>
              </w:divsChild>
            </w:div>
          </w:divsChild>
        </w:div>
      </w:divsChild>
    </w:div>
    <w:div w:id="14015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far.ff.cuni.cz/8/ondrej-svec-ph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943D8-48E5-4FE5-8F06-0022C0D0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1063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Švec, Ondřej</dc:creator>
  <cp:keywords/>
  <dc:description/>
  <cp:lastModifiedBy>Švec, Ondřej</cp:lastModifiedBy>
  <cp:revision>3</cp:revision>
  <dcterms:created xsi:type="dcterms:W3CDTF">2026-05-29T08:58:00Z</dcterms:created>
  <dcterms:modified xsi:type="dcterms:W3CDTF">2026-05-29T09:10:00Z</dcterms:modified>
</cp:coreProperties>
</file>